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1D" w:rsidRDefault="0033401D" w:rsidP="0087468D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                                                                                                                                      Приложение № </w:t>
      </w:r>
      <w:r w:rsidR="0079284E">
        <w:rPr>
          <w:rFonts w:cs="Arial"/>
          <w:b/>
          <w:szCs w:val="20"/>
        </w:rPr>
        <w:t>_</w:t>
      </w:r>
      <w:r>
        <w:rPr>
          <w:rFonts w:cs="Arial"/>
          <w:b/>
          <w:szCs w:val="20"/>
        </w:rPr>
        <w:t xml:space="preserve"> к Приказу № </w:t>
      </w:r>
      <w:r w:rsidR="00E73A36">
        <w:rPr>
          <w:rFonts w:cs="Arial"/>
          <w:b/>
          <w:szCs w:val="20"/>
        </w:rPr>
        <w:t>___</w:t>
      </w:r>
      <w:r>
        <w:rPr>
          <w:rFonts w:cs="Arial"/>
          <w:b/>
          <w:szCs w:val="20"/>
        </w:rPr>
        <w:t xml:space="preserve"> от </w:t>
      </w:r>
      <w:r w:rsidR="00E73A36">
        <w:rPr>
          <w:rFonts w:cs="Arial"/>
          <w:b/>
          <w:szCs w:val="20"/>
        </w:rPr>
        <w:t>___</w:t>
      </w:r>
      <w:r>
        <w:rPr>
          <w:rFonts w:cs="Arial"/>
          <w:b/>
          <w:szCs w:val="20"/>
        </w:rPr>
        <w:t xml:space="preserve"> </w:t>
      </w:r>
      <w:r w:rsidR="00E73A36">
        <w:rPr>
          <w:rFonts w:cs="Arial"/>
          <w:b/>
          <w:szCs w:val="20"/>
        </w:rPr>
        <w:t>октября</w:t>
      </w:r>
      <w:r>
        <w:rPr>
          <w:rFonts w:cs="Arial"/>
          <w:b/>
          <w:szCs w:val="20"/>
        </w:rPr>
        <w:t xml:space="preserve"> 2021 г.</w:t>
      </w:r>
    </w:p>
    <w:p w:rsidR="00E73A36" w:rsidRPr="000D4CBE" w:rsidRDefault="0079284E" w:rsidP="0079284E">
      <w:pPr>
        <w:jc w:val="center"/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</w:pPr>
      <w:bookmarkStart w:id="0" w:name="_Toc516059752"/>
      <w:r w:rsidRPr="0079284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Тарифный план «Весь мир»</w:t>
      </w:r>
      <w:r w:rsidR="000D4CBE" w:rsidRPr="000D4CB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 </w:t>
      </w:r>
      <w:r w:rsidRPr="0079284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(в рамках участия в </w:t>
      </w:r>
      <w:r w:rsidRPr="0087468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Акции </w:t>
      </w:r>
      <w:r w:rsidR="00FF5D14" w:rsidRPr="0087468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«</w:t>
      </w:r>
      <w:r w:rsidR="00FF5D14" w:rsidRPr="0087468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val="en-US" w:eastAsia="ru-RU"/>
        </w:rPr>
        <w:t>Welcome</w:t>
      </w:r>
      <w:r w:rsidR="00FF5D14" w:rsidRPr="0087468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» </w:t>
      </w:r>
      <w:r w:rsidRPr="0087468D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с 01</w:t>
      </w:r>
      <w:r w:rsidRPr="0079284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 xml:space="preserve">.11.2021 по </w:t>
      </w:r>
      <w:r w:rsidR="003407D5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28</w:t>
      </w:r>
      <w:r w:rsidRPr="0079284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.0</w:t>
      </w:r>
      <w:r w:rsidR="003407D5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2</w:t>
      </w:r>
      <w:r w:rsidRPr="0079284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lang w:eastAsia="ru-RU"/>
        </w:rPr>
        <w:t>.2022)</w:t>
      </w:r>
      <w:r w:rsidR="000D4CBE" w:rsidRPr="000D4CBE">
        <w:rPr>
          <w:rFonts w:ascii="Arial" w:eastAsiaTheme="majorEastAsia" w:hAnsi="Arial" w:cs="Arial"/>
          <w:b/>
          <w:bCs/>
          <w:color w:val="000000" w:themeColor="text1"/>
          <w:sz w:val="20"/>
          <w:szCs w:val="20"/>
          <w:vertAlign w:val="superscript"/>
          <w:lang w:eastAsia="ru-RU"/>
        </w:rPr>
        <w:t>1</w:t>
      </w:r>
    </w:p>
    <w:p w:rsidR="0079284E" w:rsidRDefault="0079284E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tbl>
      <w:tblPr>
        <w:tblW w:w="1518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6962"/>
        <w:gridCol w:w="2961"/>
        <w:gridCol w:w="15"/>
      </w:tblGrid>
      <w:tr w:rsidR="0079284E" w:rsidRPr="00E73A36" w:rsidTr="0079284E">
        <w:trPr>
          <w:gridAfter w:val="1"/>
          <w:wAfter w:w="15" w:type="dxa"/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Тарифны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й</w:t>
            </w: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план:</w:t>
            </w:r>
          </w:p>
        </w:tc>
        <w:tc>
          <w:tcPr>
            <w:tcW w:w="9923" w:type="dxa"/>
            <w:gridSpan w:val="2"/>
            <w:shd w:val="clear" w:color="000000" w:fill="C0C0C0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ТП «Весь мир»</w:t>
            </w:r>
            <w:r w:rsidR="000D4CBE" w:rsidRPr="00874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FF5D14" w:rsidRPr="00874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Акция «</w:t>
            </w:r>
            <w:r w:rsidR="000D4CBE" w:rsidRPr="0087468D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>Welcome</w:t>
            </w:r>
            <w:r w:rsidR="00FF5D14" w:rsidRPr="008746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79284E" w:rsidRPr="00E73A36" w:rsidTr="0079284E">
        <w:trPr>
          <w:gridAfter w:val="1"/>
          <w:wAfter w:w="15" w:type="dxa"/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94" w:type="dxa"/>
            <w:shd w:val="clear" w:color="000000" w:fill="C0C0C0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операции / услуги</w:t>
            </w:r>
          </w:p>
        </w:tc>
        <w:tc>
          <w:tcPr>
            <w:tcW w:w="9923" w:type="dxa"/>
            <w:gridSpan w:val="2"/>
            <w:shd w:val="clear" w:color="000000" w:fill="C0C0C0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300"/>
        </w:trPr>
        <w:tc>
          <w:tcPr>
            <w:tcW w:w="851" w:type="dxa"/>
            <w:shd w:val="clear" w:color="000000" w:fill="C0C0C0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4" w:type="dxa"/>
            <w:shd w:val="clear" w:color="000000" w:fill="C0C0C0"/>
            <w:vAlign w:val="center"/>
          </w:tcPr>
          <w:p w:rsidR="0079284E" w:rsidRPr="00E73A36" w:rsidRDefault="0079284E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Тарифного плана</w:t>
            </w:r>
          </w:p>
        </w:tc>
        <w:tc>
          <w:tcPr>
            <w:tcW w:w="9923" w:type="dxa"/>
            <w:gridSpan w:val="2"/>
            <w:shd w:val="clear" w:color="000000" w:fill="C0C0C0"/>
          </w:tcPr>
          <w:p w:rsidR="0079284E" w:rsidRPr="0087468D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791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обслуживания Тарифного плана РКО (в месяц) *</w:t>
            </w:r>
          </w:p>
        </w:tc>
        <w:tc>
          <w:tcPr>
            <w:tcW w:w="9923" w:type="dxa"/>
            <w:gridSpan w:val="2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Филиал «Московский» АО КБ «Солидарность»,</w:t>
            </w:r>
          </w:p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«Петербургский». АО КБ «Солидарность». Без НДС.</w:t>
            </w:r>
          </w:p>
        </w:tc>
        <w:tc>
          <w:tcPr>
            <w:tcW w:w="9923" w:type="dxa"/>
            <w:gridSpan w:val="2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79284E" w:rsidRPr="00E73A36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Подразделения АО КБ «Солидарность» в Самарской области,</w:t>
            </w:r>
          </w:p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 «Уральский» АО КБ «Солидарность», Филиал «Иркутский» АО КБ «Солидарность», Филиал «Дальневосточный» АО КБ «Солидарность». Без НДС.</w:t>
            </w:r>
          </w:p>
        </w:tc>
        <w:tc>
          <w:tcPr>
            <w:tcW w:w="9923" w:type="dxa"/>
            <w:gridSpan w:val="2"/>
          </w:tcPr>
          <w:p w:rsidR="0079284E" w:rsidRPr="0087468D" w:rsidRDefault="0079284E" w:rsidP="007928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  <w:proofErr w:type="spellStart"/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</w:t>
            </w:r>
            <w:proofErr w:type="spellEnd"/>
          </w:p>
        </w:tc>
      </w:tr>
      <w:tr w:rsidR="00E73A36" w:rsidRPr="00E73A36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на обслуживание по Тарифному плану другого типа.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 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 платежных карт «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UnionPay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», для руководителей компании и членов их семей, для ИП количество карт - 2 *</w:t>
            </w:r>
          </w:p>
        </w:tc>
        <w:tc>
          <w:tcPr>
            <w:tcW w:w="9923" w:type="dxa"/>
            <w:gridSpan w:val="2"/>
            <w:shd w:val="clear" w:color="auto" w:fill="auto"/>
          </w:tcPr>
          <w:p w:rsidR="0079284E" w:rsidRPr="0079284E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ТП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карты</w:t>
            </w:r>
            <w:r w:rsidRPr="00E73A36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UnionPay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Diamond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" w:name="_Hlk6920998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и ведение счетов</w:t>
            </w:r>
          </w:p>
        </w:tc>
        <w:tc>
          <w:tcPr>
            <w:tcW w:w="6962" w:type="dxa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в рублях и иностранной валюте (за каждый счет). </w:t>
            </w:r>
          </w:p>
        </w:tc>
        <w:tc>
          <w:tcPr>
            <w:tcW w:w="9938" w:type="dxa"/>
            <w:gridSpan w:val="3"/>
            <w:shd w:val="clear" w:color="auto" w:fill="auto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специального банковского счета платежного агента(субагента)/поставщика/банковского платежного агента (субагента).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4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394" w:type="dxa"/>
            <w:shd w:val="clear" w:color="auto" w:fill="auto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расчетного счета юридическому лицу, в отношении которого введена процедура банкротства. Без НДС.  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  <w:shd w:val="clear" w:color="auto" w:fill="auto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30 000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"/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2" w:name="_Toc516059741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рублях РФ</w:t>
            </w:r>
            <w:bookmarkEnd w:id="2"/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на счета Клиентов Банка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Банке (кроме перечислений на счета физических лиц)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счет оплаты налогов, сборов, пошлин, а также иных платежей, за совершение которых в соответствии с законодательством РФ плата не взимается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E73A36" w:rsidRPr="00E73A36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счета, открытые в других Банках по расчетным документам, принятым по Системе «Интернет-Клиент» (за исключением платежей указанных в п.3.3. Сборника тарифов), за календарный месяц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количество платежей,</w:t>
            </w:r>
          </w:p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шт. включенных в пакет</w:t>
            </w: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79284E" w:rsidRPr="00E73A36" w:rsidTr="0079284E">
        <w:trPr>
          <w:gridAfter w:val="1"/>
          <w:wAfter w:w="15" w:type="dxa"/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 превышении лимита платежей, включенных в пакет. Без НДС.</w:t>
            </w: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руб.</w:t>
            </w:r>
          </w:p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на счета, открытые в других Банках по расчетным документам, принятым на бумажных носителях (за исключением платежей, указанных в п.3.3. Сборника тарифов), за 1 платеж. Без НДС. 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счета  физических лиц*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 включительно, в месяц для Клиентов - ИП при переводе денежных средств на свой счет.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150 000 руб., включительно, в месяц.* Без НДС.</w:t>
            </w: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3" w:name="_Hlk4276137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150 000 руб. до 300 000 руб. включительно, в месяц. Без НДС.</w:t>
            </w: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</w:tc>
      </w:tr>
      <w:tr w:rsidR="0079284E" w:rsidRPr="00E73A36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300 000 руб. до 1 500 000 руб. включительно, в месяц. Без НДС.</w:t>
            </w: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</w:t>
            </w:r>
          </w:p>
        </w:tc>
      </w:tr>
      <w:tr w:rsidR="0079284E" w:rsidRPr="00E73A36" w:rsidTr="0079284E">
        <w:trPr>
          <w:gridAfter w:val="1"/>
          <w:wAfter w:w="15" w:type="dxa"/>
          <w:trHeight w:val="875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1 500 000 руб. до 5 000 000 руб. включительно в месяц. Без НДС.</w:t>
            </w: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</w:tc>
      </w:tr>
      <w:tr w:rsidR="0079284E" w:rsidRPr="00E73A36" w:rsidTr="0079284E">
        <w:trPr>
          <w:gridAfter w:val="1"/>
          <w:wAfter w:w="15" w:type="dxa"/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Свыше 5 000 000 руб. в месяц.</w:t>
            </w:r>
          </w:p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4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6% </w:t>
            </w:r>
          </w:p>
        </w:tc>
      </w:tr>
      <w:bookmarkEnd w:id="3"/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3.7.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с использованием сервиса срочного перевода, в пользу Клиентов других банков по Системе «Интернет-Клиент» (дополнительно к п.3.4.2. Сборника тарифов).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0,03% мин 300 руб. макс 1500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 по письменному заявлению Клиента.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на основании постоянно действующего поручения, ежемесячно.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BFBFBF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shd w:val="clear" w:color="auto" w:fill="BFBFBF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Расчетное обслуживание в иностранной валюте</w:t>
            </w:r>
          </w:p>
        </w:tc>
        <w:tc>
          <w:tcPr>
            <w:tcW w:w="9938" w:type="dxa"/>
            <w:gridSpan w:val="3"/>
            <w:shd w:val="clear" w:color="auto" w:fill="BFBFBF"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Зачисление поступивших средств в иностранной валюте на счета Клиента в Банке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иностранной валюте на счета Клиентов Банка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взимается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другие кредитные организации:</w:t>
            </w:r>
          </w:p>
        </w:tc>
        <w:tc>
          <w:tcPr>
            <w:tcW w:w="9938" w:type="dxa"/>
            <w:gridSpan w:val="3"/>
          </w:tcPr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284E" w:rsidRPr="00E73A36" w:rsidTr="0079284E">
        <w:trPr>
          <w:gridAfter w:val="1"/>
          <w:wAfter w:w="15" w:type="dxa"/>
          <w:trHeight w:val="578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на счет бенефициара (BEN) (все комиссии удерживаются из суммы перевода, включая комиссии 3-х Банков). Без НДС.</w:t>
            </w:r>
          </w:p>
        </w:tc>
        <w:tc>
          <w:tcPr>
            <w:tcW w:w="9923" w:type="dxa"/>
            <w:gridSpan w:val="2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мин.40 USD макс 200 USD (эквивалент)</w:t>
            </w:r>
          </w:p>
          <w:p w:rsidR="0079284E" w:rsidRPr="0087468D" w:rsidRDefault="0079284E" w:rsidP="00834895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4"/>
                <w:lang w:eastAsia="ru-RU"/>
              </w:rPr>
            </w:pPr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val="en-US" w:eastAsia="ru-RU"/>
              </w:rPr>
              <w:t>USD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 (</w:t>
            </w:r>
            <w:r w:rsidR="007E000A"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>кроме платежей в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 </w:t>
            </w:r>
            <w:r w:rsidR="007E000A"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САР 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>Гонконг)</w:t>
            </w:r>
          </w:p>
          <w:p w:rsidR="0079284E" w:rsidRPr="0087468D" w:rsidRDefault="0079284E" w:rsidP="008348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eastAsia="ru-RU"/>
              </w:rPr>
            </w:pPr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</w:p>
          <w:p w:rsidR="0079284E" w:rsidRPr="0087468D" w:rsidRDefault="0079284E" w:rsidP="008348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min</w:t>
            </w:r>
            <w:proofErr w:type="spellEnd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 15 долл. США,</w:t>
            </w:r>
          </w:p>
          <w:p w:rsidR="0079284E" w:rsidRPr="0087468D" w:rsidRDefault="0079284E" w:rsidP="00834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 150 долл. США</w:t>
            </w:r>
          </w:p>
        </w:tc>
      </w:tr>
      <w:tr w:rsidR="0079284E" w:rsidRPr="00E73A36" w:rsidTr="0079284E">
        <w:trPr>
          <w:gridAfter w:val="1"/>
          <w:wAfter w:w="15" w:type="dxa"/>
          <w:trHeight w:val="577"/>
        </w:trPr>
        <w:tc>
          <w:tcPr>
            <w:tcW w:w="851" w:type="dxa"/>
            <w:vMerge/>
            <w:shd w:val="clear" w:color="auto" w:fill="FFFFFF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- 0,06% мин. 20 USD макс 150 USD (эквивалент)</w:t>
            </w:r>
          </w:p>
        </w:tc>
      </w:tr>
      <w:tr w:rsidR="0079284E" w:rsidRPr="00E73A36" w:rsidTr="0079284E">
        <w:trPr>
          <w:gridAfter w:val="1"/>
          <w:wAfter w:w="15" w:type="dxa"/>
          <w:trHeight w:val="458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комиссий Банка на счет отправителя, комиссии других Банков – на счет бенефициара (SHA). Без НДС.</w:t>
            </w:r>
          </w:p>
        </w:tc>
        <w:tc>
          <w:tcPr>
            <w:tcW w:w="9923" w:type="dxa"/>
            <w:gridSpan w:val="2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мин.40 USD макс 200 USD (эквивалент)</w:t>
            </w:r>
          </w:p>
          <w:p w:rsidR="0079284E" w:rsidRPr="0087468D" w:rsidRDefault="0079284E" w:rsidP="00834895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4"/>
                <w:lang w:eastAsia="ru-RU"/>
              </w:rPr>
            </w:pPr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val="en-US" w:eastAsia="ru-RU"/>
              </w:rPr>
              <w:t>USD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 (</w:t>
            </w:r>
            <w:r w:rsidR="007E000A"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>кроме платежей в САР Гонконг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>)</w:t>
            </w:r>
          </w:p>
          <w:p w:rsidR="0079284E" w:rsidRPr="0087468D" w:rsidRDefault="0079284E" w:rsidP="008348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eastAsia="ru-RU"/>
              </w:rPr>
            </w:pPr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</w:p>
          <w:p w:rsidR="0079284E" w:rsidRPr="0087468D" w:rsidRDefault="0079284E" w:rsidP="008348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min</w:t>
            </w:r>
            <w:proofErr w:type="spellEnd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 15 долл. США,</w:t>
            </w:r>
          </w:p>
          <w:p w:rsidR="0079284E" w:rsidRPr="0087468D" w:rsidRDefault="0079284E" w:rsidP="00834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 150 долл. США</w:t>
            </w:r>
          </w:p>
        </w:tc>
      </w:tr>
      <w:tr w:rsidR="0079284E" w:rsidRPr="00E73A36" w:rsidTr="0079284E">
        <w:trPr>
          <w:gridAfter w:val="1"/>
          <w:wAfter w:w="15" w:type="dxa"/>
          <w:trHeight w:val="545"/>
        </w:trPr>
        <w:tc>
          <w:tcPr>
            <w:tcW w:w="851" w:type="dxa"/>
            <w:vMerge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79284E" w:rsidRPr="0087468D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- 0,06% мин. 20 USD макс 150 USD (эквивалент)</w:t>
            </w:r>
          </w:p>
        </w:tc>
      </w:tr>
      <w:tr w:rsidR="0079284E" w:rsidRPr="00E73A36" w:rsidTr="0079284E">
        <w:trPr>
          <w:gridAfter w:val="1"/>
          <w:wAfter w:w="15" w:type="dxa"/>
          <w:trHeight w:val="345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условием отнесения всех комиссий Банка и комиссии третьих банков за счет плательщика (OUR). Без НДС.</w:t>
            </w:r>
          </w:p>
        </w:tc>
        <w:tc>
          <w:tcPr>
            <w:tcW w:w="9923" w:type="dxa"/>
            <w:gridSpan w:val="2"/>
          </w:tcPr>
          <w:p w:rsidR="0079284E" w:rsidRPr="0087468D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0,10% мин.</w:t>
            </w:r>
            <w:r w:rsidR="0040603B"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 макс 200 USD (эквивалент)</w:t>
            </w:r>
          </w:p>
          <w:p w:rsidR="0079284E" w:rsidRPr="0087468D" w:rsidRDefault="0079284E" w:rsidP="00834895">
            <w:pPr>
              <w:spacing w:after="0" w:line="240" w:lineRule="auto"/>
              <w:jc w:val="center"/>
              <w:rPr>
                <w:rFonts w:ascii="Arial" w:eastAsia="SimSun" w:hAnsi="Arial" w:cs="Times New Roman"/>
                <w:sz w:val="20"/>
                <w:szCs w:val="24"/>
                <w:lang w:eastAsia="ru-RU"/>
              </w:rPr>
            </w:pPr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Переводы 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в Китайскую Народную Республику в 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val="en-US" w:eastAsia="ru-RU"/>
              </w:rPr>
              <w:t>USD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 xml:space="preserve"> (</w:t>
            </w:r>
            <w:r w:rsidR="007E000A"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>(кроме платежей в САР Гонконг</w:t>
            </w:r>
            <w:r w:rsidRPr="0087468D">
              <w:rPr>
                <w:rFonts w:ascii="Arial" w:eastAsia="SimSun" w:hAnsi="Arial" w:cs="Times New Roman"/>
                <w:sz w:val="20"/>
                <w:szCs w:val="24"/>
                <w:lang w:eastAsia="ru-RU"/>
              </w:rPr>
              <w:t>)</w:t>
            </w:r>
          </w:p>
          <w:p w:rsidR="0079284E" w:rsidRPr="0087468D" w:rsidRDefault="0079284E" w:rsidP="00834895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SimSun" w:hAnsi="Calibri" w:cs="Times New Roman"/>
                <w:color w:val="000000"/>
                <w:sz w:val="20"/>
                <w:lang w:eastAsia="ru-RU"/>
              </w:rPr>
            </w:pPr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0,1% от суммы,</w:t>
            </w:r>
          </w:p>
          <w:p w:rsidR="0079284E" w:rsidRPr="0087468D" w:rsidRDefault="0079284E" w:rsidP="00834895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</w:pPr>
            <w:proofErr w:type="spellStart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min</w:t>
            </w:r>
            <w:proofErr w:type="spellEnd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 15 долл. США,</w:t>
            </w:r>
          </w:p>
          <w:p w:rsidR="0079284E" w:rsidRPr="0087468D" w:rsidRDefault="0079284E" w:rsidP="00834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>max</w:t>
            </w:r>
            <w:proofErr w:type="spellEnd"/>
            <w:r w:rsidRPr="0087468D">
              <w:rPr>
                <w:rFonts w:ascii="Arial" w:eastAsia="SimSun" w:hAnsi="Arial" w:cs="Times New Roman"/>
                <w:color w:val="000000"/>
                <w:sz w:val="20"/>
                <w:szCs w:val="24"/>
                <w:lang w:eastAsia="ru-RU"/>
              </w:rPr>
              <w:t xml:space="preserve"> 150 долл. США</w:t>
            </w:r>
          </w:p>
        </w:tc>
      </w:tr>
      <w:tr w:rsidR="0079284E" w:rsidRPr="00E73A36" w:rsidTr="0079284E">
        <w:trPr>
          <w:gridAfter w:val="1"/>
          <w:wAfter w:w="15" w:type="dxa"/>
          <w:trHeight w:val="345"/>
        </w:trPr>
        <w:tc>
          <w:tcPr>
            <w:tcW w:w="851" w:type="dxa"/>
            <w:vMerge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:rsidR="0079284E" w:rsidRPr="00E73A36" w:rsidRDefault="0079284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</w:tcPr>
          <w:p w:rsidR="0079284E" w:rsidRPr="00E73A36" w:rsidRDefault="0079284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- 0,06% мин. 30 USD макс 150 USD (эквивалент)</w:t>
            </w:r>
          </w:p>
        </w:tc>
      </w:tr>
      <w:tr w:rsidR="00E73A36" w:rsidRPr="00E73A36" w:rsidTr="0079284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долларах США в банки, находящиеся за пределами США, с гарантированным получением бенефициаром полной суммы платежа (FULLPAY) Без НДС.*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USD </w:t>
            </w:r>
          </w:p>
        </w:tc>
      </w:tr>
      <w:tr w:rsidR="00E73A36" w:rsidRPr="00E73A36" w:rsidTr="0079284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 денежных средств в валютах, отличных от USD, EUR, CNY,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CHF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GBP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дополнительно к п.4.3. Сборника тарифов.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USD</w:t>
            </w: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Перевод денежных средств в послеоперационное время, дополнительно к п.4.3. Сборника тарифов. Без НДС.*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8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Срочный платеж (2 часа). Без НДС*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0,15% мин 50 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макс. 150 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USD</w:t>
            </w:r>
          </w:p>
        </w:tc>
      </w:tr>
      <w:tr w:rsidR="000D4CBE" w:rsidRPr="0087468D" w:rsidTr="00C41A23">
        <w:trPr>
          <w:gridAfter w:val="1"/>
          <w:wAfter w:w="15" w:type="dxa"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до момента его исполнения Банком. Без НДС.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E" w:rsidRPr="0087468D" w:rsidRDefault="0040603B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E73A36" w:rsidRPr="00E73A36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autoSpaceDE w:val="0"/>
              <w:autoSpaceDN w:val="0"/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Аннулирование платежа в день его исполнения Банком. Без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3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USD</w:t>
            </w: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по письму Клиента.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НДС:</w:t>
            </w:r>
          </w:p>
          <w:p w:rsidR="00E73A36" w:rsidRPr="00E73A36" w:rsidRDefault="00E73A36" w:rsidP="00E73A36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ru-RU"/>
              </w:rPr>
            </w:pPr>
            <w:r w:rsidRPr="0087468D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сроком исполнения до 30 дней / сроком исполнения свыше 30 дней</w:t>
            </w: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87468D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реквизитов платежа после его исполнения Банком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50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/ 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 USD</w:t>
            </w:r>
          </w:p>
        </w:tc>
      </w:tr>
      <w:tr w:rsidR="00E73A36" w:rsidRPr="00E73A36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уточнение статуса и розыск платежа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/ 2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 USD</w:t>
            </w:r>
          </w:p>
        </w:tc>
      </w:tr>
      <w:tr w:rsidR="00E73A36" w:rsidRPr="00E73A36" w:rsidTr="0079284E">
        <w:trPr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платежа сроком более 1 дня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87468D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00 / </w:t>
            </w:r>
            <w:r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2</w:t>
            </w:r>
            <w:r w:rsidR="00E73A36" w:rsidRPr="0087468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00 USD</w:t>
            </w:r>
          </w:p>
        </w:tc>
      </w:tr>
      <w:tr w:rsidR="000D4CBE" w:rsidRPr="00E73A36" w:rsidTr="009D5924">
        <w:trPr>
          <w:gridAfter w:val="1"/>
          <w:wAfter w:w="15" w:type="dxa"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4.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Консультирование Клиентов по вопросам оформления и проведения платежей в иностранной валюте. </w:t>
            </w:r>
          </w:p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D4CBE" w:rsidRPr="00E73A36" w:rsidTr="004F5E63">
        <w:trPr>
          <w:gridAfter w:val="1"/>
          <w:wAfter w:w="15" w:type="dxa"/>
          <w:trHeight w:val="6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дебетовых авизо по исполненным платежным документам. Без НДС.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4" w:name="_Hlk10804044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5" w:name="_Toc516059743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обслуживание в рублях РФ</w:t>
            </w:r>
            <w:bookmarkEnd w:id="5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иностранной валюте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6" w:name="_Hlk33610507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пересчет наличных денежных средств для зачисления на счет Клиента:</w:t>
            </w:r>
            <w:bookmarkEnd w:id="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 НДС.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4"/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банкноты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0,3% мин. 100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прием монет Банка России*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 мин 250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bookmarkStart w:id="7" w:name="_Hlk3361052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счет платежного агента, банковского платежного агента</w:t>
            </w:r>
            <w:bookmarkEnd w:id="7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*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0,15% мин. 300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725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выплату заработной платы и приравненные к ней платежи.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 НДС. 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300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46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8" w:name="_Hlk10810513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на иные цели: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300 000 руб. включительно, в месяц, для Клиентов - ИП.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300 000 до 1 000 000 руб. включительно в месяц для Клиентов - ИП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до 1 000 000 руб. включительно, в месяц для Клиентов - ЮЛ.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1 000 000 до 3 000 000 руб. включительно в месяц.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5.3.4.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свыше 3 000 000 руб. в месяц.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bookmarkEnd w:id="8"/>
      <w:tr w:rsidR="00E73A36" w:rsidRPr="00E73A36" w:rsidTr="0079284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банкнот и прием/размен монет Банка России: </w:t>
            </w:r>
          </w:p>
        </w:tc>
        <w:tc>
          <w:tcPr>
            <w:tcW w:w="9938" w:type="dxa"/>
            <w:gridSpan w:val="3"/>
          </w:tcPr>
          <w:p w:rsid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Пересчет банкнот Банка России*.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 мин 200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Прием наличной иностранной валюты для зачисления на расчетный счет Клиента. Без НДС. 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0,5%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наличных денежных средств со счетов в иностранной валюте на командировочные расходы.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1% мин 300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394" w:type="dxa"/>
            <w:shd w:val="clear" w:color="auto" w:fill="auto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Размен денежных знаков иностранного государства на денежные знаки того же иностранного государства. Без НДС. 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1,5% мин 100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9" w:name="_Toc516059745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Операции по покупке/продаже, конверсии иностранной валюты</w:t>
            </w:r>
            <w:bookmarkEnd w:id="9"/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Покупка, продажа иностранной валюты за рубли РФ или за другую иностранную валюту у Банка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курсу Банка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0" w:name="_Hlk10804104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1" w:name="_Toc516059746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Валютный контроль</w:t>
            </w:r>
            <w:bookmarkEnd w:id="11"/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4CBE" w:rsidRPr="00E73A36" w:rsidTr="006E424A">
        <w:trPr>
          <w:gridAfter w:val="1"/>
          <w:wAfter w:w="15" w:type="dxa"/>
          <w:trHeight w:val="336"/>
        </w:trPr>
        <w:tc>
          <w:tcPr>
            <w:tcW w:w="851" w:type="dxa"/>
            <w:vMerge w:val="restart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7.1.</w:t>
            </w:r>
          </w:p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Выполнение функций агента валютного контроля*. Включая НДС</w:t>
            </w:r>
          </w:p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2"/>
            <w:vAlign w:val="center"/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 мин 500 руб., макс 60 000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vMerge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Переводы в </w:t>
            </w:r>
            <w:r w:rsidRPr="00E73A3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CNY</w:t>
            </w:r>
            <w:r w:rsidRPr="00E73A36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0,06 % мин. 500 руб., макс. 30 000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4394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Постановка на учет контракта/кредитного договора, внесение изменений в принятый на учет контракт/кредитный договор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7.2.1.</w:t>
            </w:r>
          </w:p>
        </w:tc>
        <w:tc>
          <w:tcPr>
            <w:tcW w:w="4394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момента предоставления документов, на следующий рабочий день. Включая НДС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7.2.2. </w:t>
            </w:r>
          </w:p>
        </w:tc>
        <w:tc>
          <w:tcPr>
            <w:tcW w:w="4394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перевод контракта из другого банка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2" w:name="_Hlk11687038"/>
            <w:bookmarkEnd w:id="1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7.2.3.</w:t>
            </w:r>
          </w:p>
        </w:tc>
        <w:tc>
          <w:tcPr>
            <w:tcW w:w="4394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в течение текущего рабочего дня, при предоставлении документов до 16 час.00 мин. Включая НДС.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bookmarkEnd w:id="12"/>
      <w:tr w:rsidR="00E73A36" w:rsidRPr="00E73A36" w:rsidTr="0079284E">
        <w:trPr>
          <w:trHeight w:val="30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4394" w:type="dxa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документов валютного контроля за Клиента по его заявлению, включая НДС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4CBE" w:rsidRPr="00E73A36" w:rsidTr="00042170">
        <w:trPr>
          <w:gridAfter w:val="1"/>
          <w:wAfter w:w="15" w:type="dxa"/>
          <w:trHeight w:val="510"/>
        </w:trPr>
        <w:tc>
          <w:tcPr>
            <w:tcW w:w="851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4394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Консультирование Клиентов по вопросам осуществления валютных операций и заполнения документов валютного контроля. Включая НДС</w:t>
            </w:r>
          </w:p>
        </w:tc>
        <w:tc>
          <w:tcPr>
            <w:tcW w:w="9923" w:type="dxa"/>
            <w:gridSpan w:val="2"/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D4CBE" w:rsidRPr="00E73A36" w:rsidTr="00EA175C">
        <w:trPr>
          <w:gridAfter w:val="1"/>
          <w:wAfter w:w="15" w:type="dxa"/>
          <w:trHeight w:val="765"/>
        </w:trPr>
        <w:tc>
          <w:tcPr>
            <w:tcW w:w="851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4394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Предварительная экспертиза документов для принятия контракта/договора на учет. Включая НДС</w:t>
            </w:r>
          </w:p>
        </w:tc>
        <w:tc>
          <w:tcPr>
            <w:tcW w:w="9923" w:type="dxa"/>
            <w:gridSpan w:val="2"/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Включено в стоимость обслуживания</w:t>
            </w:r>
          </w:p>
        </w:tc>
      </w:tr>
      <w:tr w:rsidR="000D4CBE" w:rsidRPr="00E73A36" w:rsidTr="00D90E2B">
        <w:trPr>
          <w:gridAfter w:val="1"/>
          <w:wAfter w:w="15" w:type="dxa"/>
          <w:trHeight w:val="300"/>
        </w:trPr>
        <w:tc>
          <w:tcPr>
            <w:tcW w:w="851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4394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валютному контролю. Включая НДС</w:t>
            </w:r>
          </w:p>
        </w:tc>
        <w:tc>
          <w:tcPr>
            <w:tcW w:w="9923" w:type="dxa"/>
            <w:gridSpan w:val="2"/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в мес., далее по 500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4394" w:type="dxa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ведомости банковского контроля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4CBE" w:rsidRPr="00E73A36" w:rsidTr="00E2482C">
        <w:trPr>
          <w:gridAfter w:val="1"/>
          <w:wAfter w:w="15" w:type="dxa"/>
          <w:trHeight w:val="300"/>
        </w:trPr>
        <w:tc>
          <w:tcPr>
            <w:tcW w:w="851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7.7.1.</w:t>
            </w:r>
          </w:p>
        </w:tc>
        <w:tc>
          <w:tcPr>
            <w:tcW w:w="4394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в электронном виде по Системе «Интернет-Клиент», за 1 документ. Включая НДС</w:t>
            </w:r>
          </w:p>
        </w:tc>
        <w:tc>
          <w:tcPr>
            <w:tcW w:w="9923" w:type="dxa"/>
            <w:gridSpan w:val="2"/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в мес., далее по 200 руб.</w:t>
            </w:r>
          </w:p>
        </w:tc>
      </w:tr>
      <w:tr w:rsidR="000D4CBE" w:rsidRPr="00E73A36" w:rsidTr="00866E4C">
        <w:trPr>
          <w:gridAfter w:val="1"/>
          <w:wAfter w:w="15" w:type="dxa"/>
          <w:trHeight w:val="300"/>
        </w:trPr>
        <w:tc>
          <w:tcPr>
            <w:tcW w:w="851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7.7.2.</w:t>
            </w:r>
          </w:p>
        </w:tc>
        <w:tc>
          <w:tcPr>
            <w:tcW w:w="4394" w:type="dxa"/>
            <w:vAlign w:val="center"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 бумажном носителе / в электронном виде с печатью банка, за 1 документ. Включая НДС</w:t>
            </w:r>
          </w:p>
        </w:tc>
        <w:tc>
          <w:tcPr>
            <w:tcW w:w="9923" w:type="dxa"/>
            <w:gridSpan w:val="2"/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1956"/>
        </w:trPr>
        <w:tc>
          <w:tcPr>
            <w:tcW w:w="851" w:type="dxa"/>
            <w:shd w:val="clear" w:color="000000" w:fill="FFFFFF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копий документов, помещенных в досье по валютному контролю на основании письменного запроса Клиента, за 1 страницу. 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Включая НДС</w:t>
            </w:r>
          </w:p>
        </w:tc>
        <w:tc>
          <w:tcPr>
            <w:tcW w:w="9938" w:type="dxa"/>
            <w:gridSpan w:val="3"/>
            <w:shd w:val="clear" w:color="000000" w:fill="FFFFFF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4CBE" w:rsidRPr="00E73A36" w:rsidTr="00ED1D08">
        <w:trPr>
          <w:gridAfter w:val="1"/>
          <w:wAfter w:w="15" w:type="dxa"/>
          <w:trHeight w:val="186"/>
        </w:trPr>
        <w:tc>
          <w:tcPr>
            <w:tcW w:w="851" w:type="dxa"/>
            <w:shd w:val="clear" w:color="000000" w:fill="FFFFFF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7.9.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информации по предварительным нарушениям валютного законодательства РФ*.</w:t>
            </w:r>
          </w:p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23" w:type="dxa"/>
            <w:gridSpan w:val="2"/>
            <w:shd w:val="clear" w:color="000000" w:fill="FFFFFF"/>
          </w:tcPr>
          <w:p w:rsidR="000D4CBE" w:rsidRPr="00E73A36" w:rsidRDefault="000D4CBE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- бесплатно, далее 300 руб. за каждую выдачу документов</w:t>
            </w:r>
          </w:p>
        </w:tc>
      </w:tr>
      <w:tr w:rsidR="000D4CBE" w:rsidRPr="00E73A36" w:rsidTr="00BF1644">
        <w:trPr>
          <w:gridAfter w:val="1"/>
          <w:wAfter w:w="15" w:type="dxa"/>
          <w:trHeight w:val="225"/>
        </w:trPr>
        <w:tc>
          <w:tcPr>
            <w:tcW w:w="851" w:type="dxa"/>
            <w:shd w:val="clear" w:color="000000" w:fill="FFFFFF"/>
            <w:vAlign w:val="center"/>
          </w:tcPr>
          <w:p w:rsidR="000D4CBE" w:rsidRPr="00E73A36" w:rsidRDefault="000D4CBE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4394" w:type="dxa"/>
            <w:shd w:val="clear" w:color="000000" w:fill="FFFFFF"/>
            <w:vAlign w:val="center"/>
            <w:hideMark/>
          </w:tcPr>
          <w:p w:rsidR="000D4CBE" w:rsidRPr="00E73A36" w:rsidRDefault="000D4CBE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Банком списка полученных деклараций из Федеральной Таможенной Службы. Без НДС.</w:t>
            </w:r>
          </w:p>
        </w:tc>
        <w:tc>
          <w:tcPr>
            <w:tcW w:w="9923" w:type="dxa"/>
            <w:gridSpan w:val="2"/>
            <w:shd w:val="clear" w:color="000000" w:fill="FFFFFF"/>
          </w:tcPr>
          <w:p w:rsidR="000D4CBE" w:rsidRPr="00E73A36" w:rsidRDefault="000D4CBE" w:rsidP="000D4C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месяц- бесплатно, далее 300 руб. за каждую выдачу документов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4394" w:type="dxa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Снятие с учета контракта (кредитного договора):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7.11.1.</w:t>
            </w:r>
          </w:p>
        </w:tc>
        <w:tc>
          <w:tcPr>
            <w:tcW w:w="4394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отсутствии валютных операций через счета в АО КБ «Солидарность». Включая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7.11.2.</w:t>
            </w:r>
          </w:p>
        </w:tc>
        <w:tc>
          <w:tcPr>
            <w:tcW w:w="4394" w:type="dxa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 переводе на обслуживание в другой Банк. Включая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8 000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98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банком корректирующей справки о подтверждающих документах. Включая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3" w:name="_Toc516059739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Дистанционное банковское обслуживание</w:t>
            </w:r>
            <w:bookmarkEnd w:id="13"/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Подключение к Системе «Интернет-Клиент»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Включено в стоимость обслуживания 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информационных устройств (токенов) для работы Клиента в Системе «Интернет-Клиент», за 1 токен.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информирование Клиента о состоянии счетов (посредством e-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mail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SMS), в месяц.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8.4.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изменение пороговой суммы для получения SMS-сообщения с одноразовым паролем для подтверждения операций, в месяц.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8.5.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устройства (токена) в связи с его утратой или выходом из строя.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2 500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услуги</w:t>
            </w:r>
          </w:p>
        </w:tc>
        <w:tc>
          <w:tcPr>
            <w:tcW w:w="9938" w:type="dxa"/>
            <w:gridSpan w:val="3"/>
            <w:shd w:val="clear" w:color="000000" w:fill="C0C0C0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карточки с образцами подписей и оттиска печати и  удостоверение подлинности подписей в офисе Банка, включая НДС*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 (за подпись)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9.2.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Изготовление и заверение копий документов, предоставленных Клиентом для открытия счета за 1 пакет, включая НДС*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615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4" w:name="_Hlk9265962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дубликатов выписок или расчетных документов, по запросу Клиента, за 1 документ.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bookmarkEnd w:id="14"/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письменному запросу Клиента, за 1 документ. 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по запросам аудиторских фирм, за 1 документ.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9.6.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15" w:name="_Hlk33609530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расследований по платежам Клиента в рублях РФ по его заявлению (уточнение / изменение реквизитов платежа, розыск и т.д.) Без НДС</w:t>
            </w:r>
            <w:bookmarkEnd w:id="15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9.7.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рекомендательных писем в сторонние организации, включая НДС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9.8.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заверенной Банком копии карточки с образцами подписей и оттиска печати, включая НДС*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9.9.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по заявлению Клиента и от имени Клиента расчетных документов (в рублях), за 1 документ, включая НДС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Составление Банком расчетных документов в иностранной валюте (заявление на перевод, распоряжение по транзитному счету) за Клиента по его заявлению, за 1 документ, Включая НДС.</w:t>
            </w:r>
          </w:p>
        </w:tc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9.11.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Оформление за Клиента одного листа чековой книжки, включая НДС. 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128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9.12.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чековой книжки, включая НДС: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9.13.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Заключение и исполнение соглашения о списании денежных средств со счета Клиента в пользу 3-х лиц на условиях заранее данного акцепта (единовременно), включая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 Клиентам, закрывшим все счета в Банке.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 руб.</w:t>
            </w:r>
          </w:p>
        </w:tc>
      </w:tr>
      <w:tr w:rsidR="00E73A36" w:rsidRPr="00E73A36" w:rsidTr="0079284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Выезд к Клиенту для получения документов для открытия счета и</w:t>
            </w:r>
          </w:p>
          <w:p w:rsidR="00E73A36" w:rsidRPr="00E73A36" w:rsidRDefault="00E73A36" w:rsidP="00E73A3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заверения карточки с образцами подписей и оттиска печати, включая НДС.</w:t>
            </w:r>
          </w:p>
        </w:tc>
        <w:tc>
          <w:tcPr>
            <w:tcW w:w="9938" w:type="dxa"/>
            <w:gridSpan w:val="3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6" w:name="_Toc516059747"/>
            <w:bookmarkStart w:id="17" w:name="_Toc19800693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в рублях РФ при расчетах на территории РФ</w:t>
            </w:r>
            <w:bookmarkEnd w:id="16"/>
            <w:bookmarkEnd w:id="17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E73A36" w:rsidRPr="00E73A36" w:rsidTr="0079284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 (в отличных от указанных в п.10.1 случаях).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765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действия, при наличии денежного покрытия на всю сумму и весь срок действия аккредитива и, при этом, Банк является единственным исполняющим аккредитив Банком.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1 000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6 000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аккредитива, связанное с увеличением его суммы и/или срока действия (в отличных от указанных в п.10.3 случаях).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(от суммы каждого комплекта документов).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E73A36" w:rsidRPr="00E73A36" w:rsidTr="0079284E">
        <w:trPr>
          <w:trHeight w:val="36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аккредитиву. Без НДС.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изменения условий аккредитива. Без НДС.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10.12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10.13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 (за комплект документов с расхождениями). Без НДС.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открытие счета покрытия, запрос на принятие документов как представлены, запрос на основании поручения Клиента и т.д. (за каждый запрос). Без НДС.</w:t>
            </w: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18" w:name="_Toc516059748"/>
            <w:bookmarkStart w:id="19" w:name="_Toc19800694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- Аккредитивы по международным правилам</w:t>
            </w:r>
            <w:bookmarkEnd w:id="18"/>
            <w:bookmarkEnd w:id="19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Открытие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Подтверждение аккредитива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аккредитива (кроме увеличения его суммы и/или срока действия).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открытого или подтвержденного аккредитива, связанное с увеличением его суммы и/или срока действия.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Предварительное 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аккредитива.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аккредитиву, в случае если Банк является Банком-эмитентом, исполняющим и/или подтверждающим Банком (от суммы каждого комплекта документов).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 и проверка документов по аккредитиву на основании письменного запроса Клиента, в случае если Банк не является банком-эмитентом, исполняющим и/или подтверждающим банком (от суммы каждого комплекта документов).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Комиссия за расхождения.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документов по аккредитиву, авизованному без обязательств со стороны Банка.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 документов.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аккредитиву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Финансирование платежей по аккредитиву.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Трансферация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Рамбурсные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операции.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аккредитива до истечения срока его действия.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аккредитиву, включая: запрос на уточнение условий аккредитива, запрос на принятие документов как представлены, запросы на основании поручений Клиента и т.д. (за каждый запрос).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0" w:name="_Toc516059749"/>
            <w:bookmarkStart w:id="21" w:name="_Toc19800695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Документарные операции - Гарантии (включая </w:t>
            </w:r>
            <w:proofErr w:type="spellStart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контр-гарантии</w:t>
            </w:r>
            <w:proofErr w:type="spellEnd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  <w:bookmarkEnd w:id="20"/>
            <w:bookmarkEnd w:id="21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гарантий.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гарантии.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гарантии, вкл. НДС 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Авизование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изменений условий гарантии, включая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Отзыв гарантии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оплата требования платежа и сопровождающих требование платежа документов по выданной Банком гарантии (от суммы каждого комплекта документов).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соглашению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Проверка требования платежа и сопровождающих требование платежа документов по гарантии, авизованной без обязательств со стороны Банка, на основании письменного запроса Клиента (от суммы каждого комплекта документов), включая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Передача требования платежа и сопровождающих требование платежа документов по гарантии, авизованной без обязательств со стороны Банка, включая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Обработка запросов Клиента по гарантии, включая запросы на подтверждение подписей уполномоченных лиц бенефициара на требовании, запрос подтверждения подлинности гарантии, а также запросы на основании поручений Клиента и т.д. (за каждый запрос) 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394" w:type="dxa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2" w:name="_Toc516059750"/>
            <w:bookmarkStart w:id="23" w:name="_Toc19800696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Документарные операции – Документарное инкассо</w:t>
            </w:r>
            <w:bookmarkEnd w:id="22"/>
            <w:bookmarkEnd w:id="23"/>
          </w:p>
        </w:tc>
        <w:tc>
          <w:tcPr>
            <w:tcW w:w="9938" w:type="dxa"/>
            <w:gridSpan w:val="3"/>
            <w:shd w:val="clear" w:color="000000" w:fill="C0C0C0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Прием, проверка и подготовка документов для отправки на инкассо.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Выдача документов против акцепта/платежа/на иных условиях.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0,1%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мин. 3 000 руб.</w:t>
            </w:r>
          </w:p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макс. 9 000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Возврат неоплаченных/неакцептованных документов.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Протест в случае неплатежа (не включает комиссии третьих сторон).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условий или аннуляция инкассового поручения.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Платеж по инкассо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Обработка запросов по инкассо, на основании поручений Клиента (за каждый запрос). Без НДС.</w:t>
            </w:r>
          </w:p>
        </w:tc>
        <w:tc>
          <w:tcPr>
            <w:tcW w:w="9938" w:type="dxa"/>
            <w:gridSpan w:val="3"/>
            <w:shd w:val="clear" w:color="auto" w:fill="auto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E73A36" w:rsidRPr="00E73A36" w:rsidRDefault="00E73A36" w:rsidP="00E73A36">
            <w:pPr>
              <w:keepNext/>
              <w:keepLines/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bookmarkStart w:id="24" w:name="_Toc516059751"/>
            <w:bookmarkStart w:id="25" w:name="_Toc19800697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Обслуживание счетов </w:t>
            </w:r>
            <w:proofErr w:type="spellStart"/>
            <w:r w:rsidRPr="00E73A3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Эскроу</w:t>
            </w:r>
            <w:bookmarkEnd w:id="24"/>
            <w:bookmarkEnd w:id="25"/>
            <w:proofErr w:type="spellEnd"/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8" w:type="dxa"/>
            <w:gridSpan w:val="3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Открытие счета 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4394" w:type="dxa"/>
            <w:shd w:val="clear" w:color="auto" w:fill="FFFFFF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Проверка документов Бенефициара при открытии счетов 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 руб.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394" w:type="dxa"/>
            <w:shd w:val="clear" w:color="auto" w:fill="FFFFFF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условий договора счета 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1 000 руб. за каждое дополнительное соглашение об изменении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14.4</w:t>
            </w:r>
          </w:p>
        </w:tc>
        <w:tc>
          <w:tcPr>
            <w:tcW w:w="4394" w:type="dxa"/>
            <w:shd w:val="clear" w:color="auto" w:fill="FFFFFF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Зачисление безналичных/прием наличных денежных средств на счет 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14.5</w:t>
            </w:r>
          </w:p>
        </w:tc>
        <w:tc>
          <w:tcPr>
            <w:tcW w:w="4394" w:type="dxa"/>
            <w:shd w:val="clear" w:color="auto" w:fill="FFFFFF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справок/выписок по счету. Без НДС.</w:t>
            </w:r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руб. (оплачивается Депонентом/Бенефициаром)</w:t>
            </w:r>
          </w:p>
        </w:tc>
      </w:tr>
      <w:tr w:rsidR="00E73A36" w:rsidRPr="00E73A36" w:rsidTr="0079284E">
        <w:trPr>
          <w:trHeight w:val="300"/>
        </w:trPr>
        <w:tc>
          <w:tcPr>
            <w:tcW w:w="851" w:type="dxa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4394" w:type="dxa"/>
            <w:shd w:val="clear" w:color="auto" w:fill="FFFFFF"/>
            <w:hideMark/>
          </w:tcPr>
          <w:p w:rsidR="00E73A36" w:rsidRPr="00E73A36" w:rsidRDefault="00E73A36" w:rsidP="00E73A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счета </w:t>
            </w:r>
            <w:proofErr w:type="spellStart"/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Эскроу</w:t>
            </w:r>
            <w:proofErr w:type="spellEnd"/>
          </w:p>
        </w:tc>
        <w:tc>
          <w:tcPr>
            <w:tcW w:w="9938" w:type="dxa"/>
            <w:gridSpan w:val="3"/>
            <w:shd w:val="clear" w:color="auto" w:fill="FFFFFF"/>
            <w:vAlign w:val="center"/>
            <w:hideMark/>
          </w:tcPr>
          <w:p w:rsidR="00E73A36" w:rsidRPr="00E73A36" w:rsidRDefault="00E73A36" w:rsidP="00E73A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73A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 комиссии</w:t>
            </w:r>
          </w:p>
        </w:tc>
      </w:tr>
    </w:tbl>
    <w:p w:rsidR="00E73A36" w:rsidRDefault="00E73A36">
      <w:pPr>
        <w:rPr>
          <w:rFonts w:ascii="Arial" w:eastAsiaTheme="majorEastAsia" w:hAnsi="Arial" w:cs="Arial"/>
          <w:b/>
          <w:bCs/>
          <w:color w:val="000000" w:themeColor="text1"/>
          <w:sz w:val="16"/>
          <w:szCs w:val="16"/>
          <w:lang w:eastAsia="ru-RU"/>
        </w:rPr>
      </w:pPr>
    </w:p>
    <w:bookmarkEnd w:id="0"/>
    <w:p w:rsidR="00D33FF1" w:rsidRDefault="000D4CBE" w:rsidP="0026286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0D4CBE" w:rsidRDefault="000D4CBE" w:rsidP="0026286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0D4CBE" w:rsidRPr="000D4CBE" w:rsidRDefault="000D4CBE" w:rsidP="0026286A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F5D14">
        <w:rPr>
          <w:rFonts w:ascii="Times New Roman" w:hAnsi="Times New Roman" w:cs="Times New Roman"/>
          <w:sz w:val="24"/>
          <w:szCs w:val="24"/>
        </w:rPr>
        <w:t>Акция «</w:t>
      </w:r>
      <w:r w:rsidR="00FF5D14">
        <w:rPr>
          <w:rFonts w:ascii="Times New Roman" w:hAnsi="Times New Roman" w:cs="Times New Roman"/>
          <w:sz w:val="24"/>
          <w:szCs w:val="24"/>
          <w:lang w:val="en-US"/>
        </w:rPr>
        <w:t>Welcome</w:t>
      </w:r>
      <w:r w:rsidR="00FF5D1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Тарифн</w:t>
      </w:r>
      <w:r w:rsidR="00FF5D14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план</w:t>
      </w:r>
      <w:r w:rsidR="00FF5D1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«Весь мир» является неотъемлемым приложением к Сборнику Тарифов АО КБ «Солидарность». </w:t>
      </w:r>
      <w:r w:rsidR="00FF5D14">
        <w:rPr>
          <w:rFonts w:ascii="Times New Roman" w:hAnsi="Times New Roman" w:cs="Times New Roman"/>
          <w:sz w:val="24"/>
          <w:szCs w:val="24"/>
        </w:rPr>
        <w:t>Акция д</w:t>
      </w:r>
      <w:r>
        <w:rPr>
          <w:rFonts w:ascii="Times New Roman" w:hAnsi="Times New Roman" w:cs="Times New Roman"/>
          <w:sz w:val="24"/>
          <w:szCs w:val="24"/>
        </w:rPr>
        <w:t xml:space="preserve">ействует для новых клиентов в период с 01.11.2021 по </w:t>
      </w:r>
      <w:r w:rsidR="003407D5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407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.2022 включительно</w:t>
      </w:r>
      <w:r w:rsidR="00FF5D1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CBE">
        <w:rPr>
          <w:rFonts w:ascii="Times New Roman" w:hAnsi="Times New Roman" w:cs="Times New Roman"/>
          <w:sz w:val="24"/>
          <w:szCs w:val="24"/>
        </w:rPr>
        <w:t>период действия</w:t>
      </w:r>
      <w:r w:rsidR="00FF5D14">
        <w:rPr>
          <w:rFonts w:ascii="Times New Roman" w:hAnsi="Times New Roman" w:cs="Times New Roman"/>
          <w:sz w:val="24"/>
          <w:szCs w:val="24"/>
        </w:rPr>
        <w:t xml:space="preserve"> акции </w:t>
      </w:r>
      <w:r w:rsidRPr="000D4CBE">
        <w:rPr>
          <w:rFonts w:ascii="Times New Roman" w:hAnsi="Times New Roman" w:cs="Times New Roman"/>
          <w:sz w:val="24"/>
          <w:szCs w:val="24"/>
        </w:rPr>
        <w:t xml:space="preserve">– </w:t>
      </w:r>
      <w:r w:rsidR="0087468D">
        <w:rPr>
          <w:rFonts w:ascii="Times New Roman" w:hAnsi="Times New Roman" w:cs="Times New Roman"/>
          <w:sz w:val="24"/>
          <w:szCs w:val="24"/>
        </w:rPr>
        <w:t>4</w:t>
      </w:r>
      <w:r w:rsidRPr="000D4CB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7468D">
        <w:rPr>
          <w:rFonts w:ascii="Times New Roman" w:hAnsi="Times New Roman" w:cs="Times New Roman"/>
          <w:sz w:val="24"/>
          <w:szCs w:val="24"/>
        </w:rPr>
        <w:t>а</w:t>
      </w:r>
      <w:r w:rsidRPr="000D4CBE">
        <w:rPr>
          <w:rFonts w:ascii="Times New Roman" w:hAnsi="Times New Roman" w:cs="Times New Roman"/>
          <w:sz w:val="24"/>
          <w:szCs w:val="24"/>
        </w:rPr>
        <w:t xml:space="preserve"> с момента подключения, пролонгация не предусмотрена, дальнейшие обслуживание осуществляется по ТП «Весь Мир»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0C3B" w:rsidRDefault="00850C3B" w:rsidP="00BC6F2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850C3B" w:rsidRDefault="00850C3B" w:rsidP="00BC6F22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</w:p>
    <w:p w:rsidR="00634B42" w:rsidRDefault="00634B42" w:rsidP="007309A4">
      <w:pPr>
        <w:ind w:left="-142" w:right="-2"/>
        <w:rPr>
          <w:rFonts w:ascii="Times New Roman" w:hAnsi="Times New Roman" w:cs="Times New Roman"/>
          <w:sz w:val="24"/>
          <w:szCs w:val="24"/>
        </w:rPr>
      </w:pPr>
    </w:p>
    <w:p w:rsidR="000841FC" w:rsidRDefault="000841FC" w:rsidP="00ED6921">
      <w:pPr>
        <w:ind w:right="-2"/>
        <w:rPr>
          <w:rFonts w:ascii="Times New Roman" w:hAnsi="Times New Roman" w:cs="Times New Roman"/>
          <w:sz w:val="24"/>
          <w:szCs w:val="24"/>
        </w:rPr>
      </w:pPr>
    </w:p>
    <w:p w:rsidR="000841FC" w:rsidRDefault="000841FC" w:rsidP="00ED6921">
      <w:pPr>
        <w:ind w:right="-2"/>
        <w:rPr>
          <w:rFonts w:ascii="Times New Roman" w:hAnsi="Times New Roman" w:cs="Times New Roman"/>
          <w:sz w:val="24"/>
          <w:szCs w:val="24"/>
        </w:rPr>
      </w:pPr>
    </w:p>
    <w:sectPr w:rsidR="000841FC" w:rsidSect="00E779E2">
      <w:headerReference w:type="first" r:id="rId8"/>
      <w:pgSz w:w="16838" w:h="11906" w:orient="landscape"/>
      <w:pgMar w:top="568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A8F" w:rsidRDefault="003B4A8F" w:rsidP="00FE38EB">
      <w:pPr>
        <w:spacing w:after="0" w:line="240" w:lineRule="auto"/>
      </w:pPr>
      <w:r>
        <w:separator/>
      </w:r>
    </w:p>
  </w:endnote>
  <w:endnote w:type="continuationSeparator" w:id="0">
    <w:p w:rsidR="003B4A8F" w:rsidRDefault="003B4A8F" w:rsidP="00FE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A8F" w:rsidRDefault="003B4A8F" w:rsidP="00FE38EB">
      <w:pPr>
        <w:spacing w:after="0" w:line="240" w:lineRule="auto"/>
      </w:pPr>
      <w:r>
        <w:separator/>
      </w:r>
    </w:p>
  </w:footnote>
  <w:footnote w:type="continuationSeparator" w:id="0">
    <w:p w:rsidR="003B4A8F" w:rsidRDefault="003B4A8F" w:rsidP="00FE3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84E" w:rsidRDefault="0079284E" w:rsidP="006E1786">
    <w:pPr>
      <w:pStyle w:val="a3"/>
      <w:ind w:left="142"/>
    </w:pPr>
    <w:r>
      <w:rPr>
        <w:noProof/>
        <w:color w:val="808080" w:themeColor="background1" w:themeShade="80"/>
        <w:lang w:eastAsia="ru-RU"/>
      </w:rPr>
      <w:drawing>
        <wp:inline distT="0" distB="0" distL="0" distR="0" wp14:anchorId="02D0A4A6" wp14:editId="19492BE7">
          <wp:extent cx="2361600" cy="342000"/>
          <wp:effectExtent l="0" t="0" r="635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us_(K-100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1600" cy="34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EEE"/>
    <w:multiLevelType w:val="hybridMultilevel"/>
    <w:tmpl w:val="443AE228"/>
    <w:lvl w:ilvl="0" w:tplc="3D149D0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11014"/>
    <w:multiLevelType w:val="hybridMultilevel"/>
    <w:tmpl w:val="AA82E30E"/>
    <w:lvl w:ilvl="0" w:tplc="72905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E52A5"/>
    <w:multiLevelType w:val="hybridMultilevel"/>
    <w:tmpl w:val="16786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4A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1615E"/>
    <w:multiLevelType w:val="hybridMultilevel"/>
    <w:tmpl w:val="0D9C6112"/>
    <w:lvl w:ilvl="0" w:tplc="F7FE5D4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F87402"/>
    <w:multiLevelType w:val="hybridMultilevel"/>
    <w:tmpl w:val="3D00B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15B42"/>
    <w:multiLevelType w:val="hybridMultilevel"/>
    <w:tmpl w:val="149C087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4D75"/>
    <w:multiLevelType w:val="hybridMultilevel"/>
    <w:tmpl w:val="4D38D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5772D"/>
    <w:multiLevelType w:val="hybridMultilevel"/>
    <w:tmpl w:val="9014D08C"/>
    <w:lvl w:ilvl="0" w:tplc="D20219C8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 w15:restartNumberingAfterBreak="0">
    <w:nsid w:val="2EB87A73"/>
    <w:multiLevelType w:val="hybridMultilevel"/>
    <w:tmpl w:val="7DE4FC50"/>
    <w:lvl w:ilvl="0" w:tplc="6FA81C98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D2AA5"/>
    <w:multiLevelType w:val="hybridMultilevel"/>
    <w:tmpl w:val="4B4273DC"/>
    <w:lvl w:ilvl="0" w:tplc="A426D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7121D"/>
    <w:multiLevelType w:val="hybridMultilevel"/>
    <w:tmpl w:val="F36C175A"/>
    <w:lvl w:ilvl="0" w:tplc="1BCE36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D6F4D"/>
    <w:multiLevelType w:val="hybridMultilevel"/>
    <w:tmpl w:val="F0C8B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E2BB8"/>
    <w:multiLevelType w:val="hybridMultilevel"/>
    <w:tmpl w:val="CD2CCD1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D5068D"/>
    <w:multiLevelType w:val="multilevel"/>
    <w:tmpl w:val="2BCA305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4A5C759C"/>
    <w:multiLevelType w:val="hybridMultilevel"/>
    <w:tmpl w:val="490E1646"/>
    <w:lvl w:ilvl="0" w:tplc="729057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2B7F55"/>
    <w:multiLevelType w:val="hybridMultilevel"/>
    <w:tmpl w:val="07CEECAC"/>
    <w:lvl w:ilvl="0" w:tplc="0CD47B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61C440A"/>
    <w:multiLevelType w:val="hybridMultilevel"/>
    <w:tmpl w:val="5CA486E6"/>
    <w:lvl w:ilvl="0" w:tplc="D67AA9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B56FD"/>
    <w:multiLevelType w:val="hybridMultilevel"/>
    <w:tmpl w:val="A86CC818"/>
    <w:lvl w:ilvl="0" w:tplc="C79AD1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A5DB5"/>
    <w:multiLevelType w:val="multilevel"/>
    <w:tmpl w:val="5AACE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8DB679B"/>
    <w:multiLevelType w:val="hybridMultilevel"/>
    <w:tmpl w:val="E4F40FEE"/>
    <w:lvl w:ilvl="0" w:tplc="EE76BC00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15ED9"/>
    <w:multiLevelType w:val="hybridMultilevel"/>
    <w:tmpl w:val="EC7E53EA"/>
    <w:lvl w:ilvl="0" w:tplc="7290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D3C99"/>
    <w:multiLevelType w:val="multilevel"/>
    <w:tmpl w:val="86224D3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7"/>
  </w:num>
  <w:num w:numId="5">
    <w:abstractNumId w:val="20"/>
  </w:num>
  <w:num w:numId="6">
    <w:abstractNumId w:val="13"/>
  </w:num>
  <w:num w:numId="7">
    <w:abstractNumId w:val="5"/>
  </w:num>
  <w:num w:numId="8">
    <w:abstractNumId w:val="12"/>
  </w:num>
  <w:num w:numId="9">
    <w:abstractNumId w:val="19"/>
  </w:num>
  <w:num w:numId="10">
    <w:abstractNumId w:val="2"/>
  </w:num>
  <w:num w:numId="11">
    <w:abstractNumId w:val="11"/>
  </w:num>
  <w:num w:numId="12">
    <w:abstractNumId w:val="16"/>
  </w:num>
  <w:num w:numId="13">
    <w:abstractNumId w:val="6"/>
  </w:num>
  <w:num w:numId="14">
    <w:abstractNumId w:val="17"/>
  </w:num>
  <w:num w:numId="15">
    <w:abstractNumId w:val="10"/>
  </w:num>
  <w:num w:numId="16">
    <w:abstractNumId w:val="21"/>
  </w:num>
  <w:num w:numId="17">
    <w:abstractNumId w:val="18"/>
  </w:num>
  <w:num w:numId="18">
    <w:abstractNumId w:val="1"/>
  </w:num>
  <w:num w:numId="19">
    <w:abstractNumId w:val="15"/>
  </w:num>
  <w:num w:numId="20">
    <w:abstractNumId w:val="9"/>
  </w:num>
  <w:num w:numId="21">
    <w:abstractNumId w:val="0"/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EB"/>
    <w:rsid w:val="00030177"/>
    <w:rsid w:val="000458A4"/>
    <w:rsid w:val="000821F8"/>
    <w:rsid w:val="000841FC"/>
    <w:rsid w:val="000C791C"/>
    <w:rsid w:val="000D4CBE"/>
    <w:rsid w:val="001A762B"/>
    <w:rsid w:val="001E7DCB"/>
    <w:rsid w:val="001F110C"/>
    <w:rsid w:val="00233B53"/>
    <w:rsid w:val="0026286A"/>
    <w:rsid w:val="002C07B4"/>
    <w:rsid w:val="002F2224"/>
    <w:rsid w:val="0030650A"/>
    <w:rsid w:val="0033401D"/>
    <w:rsid w:val="003407D5"/>
    <w:rsid w:val="003423FE"/>
    <w:rsid w:val="00343FD9"/>
    <w:rsid w:val="00346452"/>
    <w:rsid w:val="00357CFB"/>
    <w:rsid w:val="00383B7B"/>
    <w:rsid w:val="0039266C"/>
    <w:rsid w:val="003B4A8F"/>
    <w:rsid w:val="003D23FF"/>
    <w:rsid w:val="003F3FF9"/>
    <w:rsid w:val="0040191B"/>
    <w:rsid w:val="0040603B"/>
    <w:rsid w:val="004103E8"/>
    <w:rsid w:val="004471EC"/>
    <w:rsid w:val="004717F9"/>
    <w:rsid w:val="00482DD0"/>
    <w:rsid w:val="004F4308"/>
    <w:rsid w:val="004F4841"/>
    <w:rsid w:val="00503AA8"/>
    <w:rsid w:val="0051574B"/>
    <w:rsid w:val="005749B7"/>
    <w:rsid w:val="0058287B"/>
    <w:rsid w:val="005A1095"/>
    <w:rsid w:val="005F0313"/>
    <w:rsid w:val="005F247C"/>
    <w:rsid w:val="006138D5"/>
    <w:rsid w:val="00634B42"/>
    <w:rsid w:val="00672207"/>
    <w:rsid w:val="0068011D"/>
    <w:rsid w:val="006A1F9C"/>
    <w:rsid w:val="006E1786"/>
    <w:rsid w:val="007309A4"/>
    <w:rsid w:val="00740B59"/>
    <w:rsid w:val="00741AD4"/>
    <w:rsid w:val="00742D1E"/>
    <w:rsid w:val="0079284E"/>
    <w:rsid w:val="007E000A"/>
    <w:rsid w:val="007F3E94"/>
    <w:rsid w:val="00834895"/>
    <w:rsid w:val="00850C3B"/>
    <w:rsid w:val="00854E8D"/>
    <w:rsid w:val="008741C8"/>
    <w:rsid w:val="0087468D"/>
    <w:rsid w:val="008877EB"/>
    <w:rsid w:val="008E140B"/>
    <w:rsid w:val="008F1762"/>
    <w:rsid w:val="0095588B"/>
    <w:rsid w:val="00973362"/>
    <w:rsid w:val="009971D9"/>
    <w:rsid w:val="009B0B77"/>
    <w:rsid w:val="00A4336B"/>
    <w:rsid w:val="00A7191A"/>
    <w:rsid w:val="00A7247B"/>
    <w:rsid w:val="00A85DAC"/>
    <w:rsid w:val="00A91F24"/>
    <w:rsid w:val="00AC1E3A"/>
    <w:rsid w:val="00AD1719"/>
    <w:rsid w:val="00AF491A"/>
    <w:rsid w:val="00B11DB2"/>
    <w:rsid w:val="00B866DC"/>
    <w:rsid w:val="00BC6F22"/>
    <w:rsid w:val="00C20537"/>
    <w:rsid w:val="00C742A4"/>
    <w:rsid w:val="00C850CA"/>
    <w:rsid w:val="00D33FF1"/>
    <w:rsid w:val="00D55ACB"/>
    <w:rsid w:val="00D737CD"/>
    <w:rsid w:val="00D922E6"/>
    <w:rsid w:val="00E23BBE"/>
    <w:rsid w:val="00E54B2F"/>
    <w:rsid w:val="00E62CC9"/>
    <w:rsid w:val="00E73A36"/>
    <w:rsid w:val="00E779E2"/>
    <w:rsid w:val="00EC0E22"/>
    <w:rsid w:val="00ED6921"/>
    <w:rsid w:val="00EE2A88"/>
    <w:rsid w:val="00F820EE"/>
    <w:rsid w:val="00FE38EB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9FC47E4"/>
  <w15:chartTrackingRefBased/>
  <w15:docId w15:val="{34587806-6982-46E4-9396-9021C773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47B"/>
  </w:style>
  <w:style w:type="paragraph" w:styleId="1">
    <w:name w:val="heading 1"/>
    <w:basedOn w:val="a"/>
    <w:next w:val="a"/>
    <w:link w:val="10"/>
    <w:qFormat/>
    <w:rsid w:val="00D33FF1"/>
    <w:pPr>
      <w:keepNext/>
      <w:keepLines/>
      <w:spacing w:after="0" w:line="240" w:lineRule="auto"/>
      <w:outlineLvl w:val="0"/>
    </w:pPr>
    <w:rPr>
      <w:rFonts w:ascii="Arial" w:eastAsiaTheme="majorEastAsia" w:hAnsi="Arial" w:cstheme="majorBidi"/>
      <w:b/>
      <w:bCs/>
      <w:sz w:val="2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FF1"/>
    <w:rPr>
      <w:rFonts w:ascii="Arial" w:eastAsiaTheme="majorEastAsia" w:hAnsi="Arial" w:cstheme="majorBidi"/>
      <w:b/>
      <w:bCs/>
      <w:sz w:val="20"/>
      <w:szCs w:val="28"/>
      <w:lang w:eastAsia="ru-RU"/>
    </w:rPr>
  </w:style>
  <w:style w:type="paragraph" w:styleId="a3">
    <w:name w:val="header"/>
    <w:basedOn w:val="a"/>
    <w:link w:val="a4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E38EB"/>
  </w:style>
  <w:style w:type="paragraph" w:styleId="a5">
    <w:name w:val="footer"/>
    <w:basedOn w:val="a"/>
    <w:link w:val="a6"/>
    <w:uiPriority w:val="99"/>
    <w:unhideWhenUsed/>
    <w:rsid w:val="00FE38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38EB"/>
  </w:style>
  <w:style w:type="character" w:styleId="a7">
    <w:name w:val="annotation reference"/>
    <w:basedOn w:val="a0"/>
    <w:semiHidden/>
    <w:unhideWhenUsed/>
    <w:rsid w:val="00FE38EB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FE38E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FE38EB"/>
    <w:rPr>
      <w:sz w:val="20"/>
      <w:szCs w:val="20"/>
    </w:rPr>
  </w:style>
  <w:style w:type="paragraph" w:styleId="aa">
    <w:name w:val="annotation subject"/>
    <w:basedOn w:val="a8"/>
    <w:next w:val="a8"/>
    <w:link w:val="ab"/>
    <w:semiHidden/>
    <w:unhideWhenUsed/>
    <w:rsid w:val="00FE38EB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FE38EB"/>
    <w:rPr>
      <w:b/>
      <w:bCs/>
      <w:sz w:val="20"/>
      <w:szCs w:val="20"/>
    </w:rPr>
  </w:style>
  <w:style w:type="paragraph" w:styleId="ac">
    <w:name w:val="Balloon Text"/>
    <w:basedOn w:val="a"/>
    <w:link w:val="ad"/>
    <w:unhideWhenUsed/>
    <w:rsid w:val="00FE3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E38EB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59"/>
    <w:rsid w:val="00A72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C6F22"/>
    <w:rPr>
      <w:color w:val="808080"/>
    </w:rPr>
  </w:style>
  <w:style w:type="character" w:styleId="af0">
    <w:name w:val="page number"/>
    <w:basedOn w:val="a0"/>
    <w:rsid w:val="0068011D"/>
  </w:style>
  <w:style w:type="paragraph" w:customStyle="1" w:styleId="Oaenooaaeeoueaa">
    <w:name w:val="Oaeno oaaeeou eaa."/>
    <w:basedOn w:val="a"/>
    <w:rsid w:val="0068011D"/>
    <w:pPr>
      <w:widowControl w:val="0"/>
      <w:spacing w:before="40" w:after="0" w:line="200" w:lineRule="exact"/>
    </w:pPr>
    <w:rPr>
      <w:rFonts w:ascii="Arial" w:eastAsiaTheme="minorEastAsia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68011D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8011D"/>
    <w:pPr>
      <w:tabs>
        <w:tab w:val="right" w:leader="dot" w:pos="10609"/>
      </w:tabs>
      <w:spacing w:after="0" w:line="240" w:lineRule="auto"/>
      <w:contextualSpacing/>
    </w:pPr>
    <w:rPr>
      <w:rFonts w:ascii="Arial" w:eastAsiaTheme="minorEastAsia" w:hAnsi="Arial" w:cs="Times New Roman"/>
      <w:sz w:val="20"/>
      <w:szCs w:val="24"/>
      <w:lang w:eastAsia="ru-RU"/>
    </w:rPr>
  </w:style>
  <w:style w:type="character" w:styleId="af2">
    <w:name w:val="Hyperlink"/>
    <w:basedOn w:val="a0"/>
    <w:uiPriority w:val="99"/>
    <w:unhideWhenUsed/>
    <w:rsid w:val="0068011D"/>
    <w:rPr>
      <w:color w:val="0563C1" w:themeColor="hyperlink"/>
      <w:u w:val="single"/>
    </w:rPr>
  </w:style>
  <w:style w:type="paragraph" w:styleId="2">
    <w:name w:val="toc 2"/>
    <w:basedOn w:val="a"/>
    <w:next w:val="a"/>
    <w:autoRedefine/>
    <w:uiPriority w:val="39"/>
    <w:qFormat/>
    <w:rsid w:val="0068011D"/>
    <w:pPr>
      <w:tabs>
        <w:tab w:val="right" w:leader="dot" w:pos="10206"/>
      </w:tabs>
      <w:spacing w:after="0" w:line="240" w:lineRule="auto"/>
      <w:ind w:left="284" w:right="2124"/>
    </w:pPr>
    <w:rPr>
      <w:rFonts w:ascii="Arial" w:eastAsiaTheme="minorEastAsia" w:hAnsi="Arial" w:cs="Times New Roman"/>
      <w:sz w:val="20"/>
      <w:szCs w:val="20"/>
    </w:rPr>
  </w:style>
  <w:style w:type="paragraph" w:customStyle="1" w:styleId="xl63">
    <w:name w:val="xl6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4">
    <w:name w:val="xl6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xl65">
    <w:name w:val="xl65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font5">
    <w:name w:val="font5"/>
    <w:basedOn w:val="a"/>
    <w:rsid w:val="0068011D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68011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6801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6801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801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3">
    <w:name w:val="Title"/>
    <w:basedOn w:val="a"/>
    <w:next w:val="a"/>
    <w:link w:val="af4"/>
    <w:qFormat/>
    <w:rsid w:val="0068011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f4">
    <w:name w:val="Заголовок Знак"/>
    <w:basedOn w:val="a0"/>
    <w:link w:val="af3"/>
    <w:rsid w:val="0068011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5">
    <w:name w:val="footnote text"/>
    <w:basedOn w:val="a"/>
    <w:link w:val="af6"/>
    <w:semiHidden/>
    <w:unhideWhenUsed/>
    <w:rsid w:val="0068011D"/>
    <w:pPr>
      <w:spacing w:after="0" w:line="240" w:lineRule="auto"/>
    </w:pPr>
    <w:rPr>
      <w:rFonts w:ascii="Arial" w:eastAsiaTheme="minorEastAsia" w:hAnsi="Arial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68011D"/>
    <w:rPr>
      <w:rFonts w:ascii="Arial" w:eastAsiaTheme="minorEastAsia" w:hAnsi="Arial" w:cs="Times New Roman"/>
      <w:sz w:val="20"/>
      <w:szCs w:val="20"/>
      <w:lang w:eastAsia="ru-RU"/>
    </w:rPr>
  </w:style>
  <w:style w:type="character" w:styleId="af7">
    <w:name w:val="footnote reference"/>
    <w:basedOn w:val="a0"/>
    <w:semiHidden/>
    <w:unhideWhenUsed/>
    <w:rsid w:val="0068011D"/>
    <w:rPr>
      <w:vertAlign w:val="superscript"/>
    </w:rPr>
  </w:style>
  <w:style w:type="character" w:customStyle="1" w:styleId="20">
    <w:name w:val="Основной текст (2)_"/>
    <w:basedOn w:val="a0"/>
    <w:link w:val="21"/>
    <w:rsid w:val="0068011D"/>
    <w:rPr>
      <w:rFonts w:eastAsia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8011D"/>
    <w:pPr>
      <w:widowControl w:val="0"/>
      <w:shd w:val="clear" w:color="auto" w:fill="FFFFFF"/>
      <w:spacing w:before="900" w:after="600" w:line="0" w:lineRule="atLeast"/>
      <w:jc w:val="center"/>
    </w:pPr>
    <w:rPr>
      <w:rFonts w:eastAsia="Times New Roman"/>
    </w:rPr>
  </w:style>
  <w:style w:type="paragraph" w:styleId="af8">
    <w:name w:val="No Spacing"/>
    <w:uiPriority w:val="1"/>
    <w:qFormat/>
    <w:rsid w:val="00E779E2"/>
    <w:pPr>
      <w:spacing w:after="0" w:line="240" w:lineRule="auto"/>
    </w:pPr>
  </w:style>
  <w:style w:type="numbering" w:customStyle="1" w:styleId="12">
    <w:name w:val="Нет списка1"/>
    <w:next w:val="a2"/>
    <w:uiPriority w:val="99"/>
    <w:semiHidden/>
    <w:unhideWhenUsed/>
    <w:rsid w:val="00E73A36"/>
  </w:style>
  <w:style w:type="table" w:customStyle="1" w:styleId="13">
    <w:name w:val="Сетка таблицы1"/>
    <w:basedOn w:val="a1"/>
    <w:next w:val="ae"/>
    <w:uiPriority w:val="59"/>
    <w:rsid w:val="00E73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next w:val="af9"/>
    <w:hidden/>
    <w:uiPriority w:val="99"/>
    <w:semiHidden/>
    <w:rsid w:val="00E73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аголовок оглавления1"/>
    <w:basedOn w:val="1"/>
    <w:next w:val="a"/>
    <w:uiPriority w:val="39"/>
    <w:semiHidden/>
    <w:unhideWhenUsed/>
    <w:qFormat/>
    <w:rsid w:val="00E73A36"/>
    <w:pPr>
      <w:spacing w:line="276" w:lineRule="auto"/>
      <w:outlineLvl w:val="9"/>
    </w:pPr>
  </w:style>
  <w:style w:type="character" w:styleId="afa">
    <w:name w:val="FollowedHyperlink"/>
    <w:basedOn w:val="a0"/>
    <w:uiPriority w:val="99"/>
    <w:semiHidden/>
    <w:unhideWhenUsed/>
    <w:rsid w:val="00E73A36"/>
    <w:rPr>
      <w:color w:val="800080"/>
      <w:u w:val="single"/>
    </w:rPr>
  </w:style>
  <w:style w:type="paragraph" w:styleId="af9">
    <w:name w:val="Revision"/>
    <w:hidden/>
    <w:uiPriority w:val="99"/>
    <w:semiHidden/>
    <w:rsid w:val="00E73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4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D55C-ACEF-462E-8938-226385CB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2845</Words>
  <Characters>16221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Соболев</dc:creator>
  <cp:keywords/>
  <dc:description/>
  <cp:lastModifiedBy>Соболев Алексей Владимирович</cp:lastModifiedBy>
  <cp:revision>1</cp:revision>
  <cp:lastPrinted>2021-03-15T12:44:00Z</cp:lastPrinted>
  <dcterms:created xsi:type="dcterms:W3CDTF">2021-10-26T11:02:00Z</dcterms:created>
  <dcterms:modified xsi:type="dcterms:W3CDTF">2021-10-26T11:02:00Z</dcterms:modified>
</cp:coreProperties>
</file>