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0A8" w:rsidRDefault="007F50A8">
      <w:pPr>
        <w:pStyle w:val="11"/>
        <w:spacing w:after="120"/>
        <w:ind w:firstLine="709"/>
        <w:contextualSpacing/>
        <w:jc w:val="right"/>
        <w:rPr>
          <w:sz w:val="22"/>
          <w:szCs w:val="22"/>
        </w:rPr>
      </w:pPr>
      <w:bookmarkStart w:id="0" w:name="_Toc164352071"/>
    </w:p>
    <w:p w:rsidR="007F50A8" w:rsidRDefault="00916C85">
      <w:pPr>
        <w:pStyle w:val="21"/>
        <w:jc w:val="right"/>
      </w:pPr>
      <w:r w:rsidRPr="00543F15">
        <w:rPr>
          <w:sz w:val="22"/>
          <w:szCs w:val="22"/>
        </w:rPr>
        <w:t>Приложение № 9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br/>
      </w:r>
      <w:r w:rsidRPr="00543F15">
        <w:rPr>
          <w:sz w:val="22"/>
          <w:szCs w:val="22"/>
        </w:rPr>
        <w:t xml:space="preserve">к Регламенту брокерского обслуживания клиентов </w:t>
      </w:r>
    </w:p>
    <w:p w:rsidR="00916C85" w:rsidRPr="00543F15" w:rsidRDefault="00916C85" w:rsidP="00916C85">
      <w:pPr>
        <w:pStyle w:val="2"/>
        <w:jc w:val="right"/>
        <w:rPr>
          <w:sz w:val="22"/>
          <w:szCs w:val="22"/>
        </w:rPr>
      </w:pPr>
      <w:r w:rsidRPr="00543F15">
        <w:rPr>
          <w:sz w:val="22"/>
          <w:szCs w:val="22"/>
        </w:rPr>
        <w:t xml:space="preserve">АО КБ «Солидарность» на </w:t>
      </w:r>
      <w:r w:rsidR="0058534D">
        <w:rPr>
          <w:sz w:val="22"/>
          <w:szCs w:val="22"/>
        </w:rPr>
        <w:t>рынке ценных бумаг</w:t>
      </w:r>
    </w:p>
    <w:bookmarkEnd w:id="0"/>
    <w:p w:rsidR="007F50A8" w:rsidRDefault="007F50A8">
      <w:pPr>
        <w:pStyle w:val="11"/>
        <w:spacing w:after="120"/>
        <w:ind w:firstLine="709"/>
        <w:contextualSpacing/>
        <w:jc w:val="right"/>
        <w:rPr>
          <w:sz w:val="22"/>
          <w:szCs w:val="22"/>
        </w:rPr>
      </w:pPr>
    </w:p>
    <w:p w:rsidR="007F50A8" w:rsidRDefault="007F50A8">
      <w:pPr>
        <w:pStyle w:val="11"/>
        <w:spacing w:after="120"/>
        <w:ind w:left="7090" w:firstLine="709"/>
        <w:contextualSpacing/>
        <w:mirrorIndents/>
        <w:jc w:val="both"/>
        <w:rPr>
          <w:sz w:val="22"/>
          <w:szCs w:val="22"/>
        </w:rPr>
      </w:pPr>
    </w:p>
    <w:p w:rsidR="007F50A8" w:rsidRDefault="009A0F8E">
      <w:pPr>
        <w:pStyle w:val="Default"/>
        <w:spacing w:after="120"/>
        <w:ind w:firstLine="709"/>
        <w:contextualSpacing/>
        <w:mirrorIndents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9A0F8E">
        <w:rPr>
          <w:rFonts w:ascii="Times New Roman" w:hAnsi="Times New Roman" w:cs="Times New Roman"/>
          <w:b/>
          <w:bCs/>
          <w:sz w:val="22"/>
          <w:szCs w:val="22"/>
        </w:rPr>
        <w:t>ДЕКЛАРАЦИЯ О РИСКАХ, СВЯЗАННЫХ С ЗАКЛЮЧЕНИЕМ, ИСПОЛНЕНИЕМ И ПРЕКРАЩЕНИЕМ ДОГОВОРА КОМИССИИ ОБ ОКАЗАНИИ БРОКЕРСКИХ УСЛУГ</w:t>
      </w:r>
    </w:p>
    <w:p w:rsidR="007F50A8" w:rsidRDefault="009A0F8E">
      <w:pPr>
        <w:pStyle w:val="Default"/>
        <w:spacing w:after="120"/>
        <w:ind w:firstLine="709"/>
        <w:contextualSpacing/>
        <w:mirrorIndents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9A0F8E">
        <w:rPr>
          <w:rFonts w:ascii="Times New Roman" w:hAnsi="Times New Roman" w:cs="Times New Roman"/>
          <w:b/>
          <w:bCs/>
          <w:sz w:val="22"/>
          <w:szCs w:val="22"/>
        </w:rPr>
        <w:t xml:space="preserve"> НА РЫНКЕ ЦЕННЫХ БУМАГ</w:t>
      </w:r>
    </w:p>
    <w:p w:rsidR="007F50A8" w:rsidRDefault="009A0F8E">
      <w:pPr>
        <w:pStyle w:val="Default"/>
        <w:spacing w:after="120"/>
        <w:ind w:firstLine="709"/>
        <w:contextualSpacing/>
        <w:mirrorIndents/>
        <w:jc w:val="center"/>
        <w:rPr>
          <w:rFonts w:ascii="Times New Roman" w:hAnsi="Times New Roman" w:cs="Times New Roman"/>
          <w:sz w:val="22"/>
          <w:szCs w:val="22"/>
        </w:rPr>
      </w:pPr>
      <w:r w:rsidRPr="009A0F8E">
        <w:rPr>
          <w:rFonts w:ascii="Times New Roman" w:hAnsi="Times New Roman" w:cs="Times New Roman"/>
          <w:sz w:val="22"/>
          <w:szCs w:val="22"/>
        </w:rPr>
        <w:t xml:space="preserve">(далее </w:t>
      </w:r>
      <w:r w:rsidR="00465AAD">
        <w:rPr>
          <w:rFonts w:ascii="Times New Roman" w:hAnsi="Times New Roman" w:cs="Times New Roman"/>
          <w:sz w:val="22"/>
          <w:szCs w:val="22"/>
        </w:rPr>
        <w:t>–</w:t>
      </w:r>
      <w:r w:rsidRPr="009A0F8E">
        <w:rPr>
          <w:rFonts w:ascii="Times New Roman" w:hAnsi="Times New Roman" w:cs="Times New Roman"/>
          <w:sz w:val="22"/>
          <w:szCs w:val="22"/>
        </w:rPr>
        <w:t xml:space="preserve"> Декларация о рисках или Декларация)</w:t>
      </w:r>
    </w:p>
    <w:p w:rsidR="007F50A8" w:rsidRDefault="007F50A8">
      <w:pPr>
        <w:pStyle w:val="Default"/>
        <w:spacing w:after="120"/>
        <w:ind w:firstLine="709"/>
        <w:contextualSpacing/>
        <w:mirrorIndents/>
        <w:jc w:val="center"/>
        <w:rPr>
          <w:rFonts w:ascii="Times New Roman" w:hAnsi="Times New Roman" w:cs="Times New Roman"/>
          <w:sz w:val="22"/>
          <w:szCs w:val="22"/>
        </w:rPr>
      </w:pPr>
    </w:p>
    <w:p w:rsidR="007F50A8" w:rsidRDefault="009A0F8E">
      <w:pPr>
        <w:pStyle w:val="Default"/>
        <w:spacing w:after="120"/>
        <w:ind w:firstLine="709"/>
        <w:contextualSpacing/>
        <w:mirrorIndents/>
        <w:jc w:val="both"/>
        <w:rPr>
          <w:rFonts w:ascii="Times New Roman" w:hAnsi="Times New Roman" w:cs="Times New Roman"/>
          <w:sz w:val="22"/>
          <w:szCs w:val="22"/>
        </w:rPr>
      </w:pPr>
      <w:r w:rsidRPr="009A0F8E">
        <w:rPr>
          <w:rFonts w:ascii="Times New Roman" w:hAnsi="Times New Roman" w:cs="Times New Roman"/>
          <w:sz w:val="22"/>
          <w:szCs w:val="22"/>
        </w:rPr>
        <w:t xml:space="preserve">1. Целью настоящей Декларации является предоставление АО КБ «Солидарность» (далее – Банк) до заключения договора комиссии об оказании брокерских услуг на рынке ценных бумаг </w:t>
      </w:r>
      <w:r w:rsidR="00465AAD">
        <w:rPr>
          <w:rFonts w:ascii="Times New Roman" w:hAnsi="Times New Roman" w:cs="Times New Roman"/>
          <w:sz w:val="22"/>
          <w:szCs w:val="22"/>
        </w:rPr>
        <w:br/>
      </w:r>
      <w:r w:rsidRPr="009A0F8E">
        <w:rPr>
          <w:rFonts w:ascii="Times New Roman" w:hAnsi="Times New Roman" w:cs="Times New Roman"/>
          <w:sz w:val="22"/>
          <w:szCs w:val="22"/>
        </w:rPr>
        <w:t>(далее – Договор) информации о рисках, связанных с заключением, исполнением и прекращением Договора.</w:t>
      </w:r>
    </w:p>
    <w:p w:rsidR="007F50A8" w:rsidRDefault="009A0F8E">
      <w:pPr>
        <w:pStyle w:val="Default"/>
        <w:spacing w:after="120"/>
        <w:ind w:firstLine="709"/>
        <w:contextualSpacing/>
        <w:mirrorIndents/>
        <w:jc w:val="both"/>
        <w:rPr>
          <w:rFonts w:ascii="Times New Roman" w:hAnsi="Times New Roman" w:cs="Times New Roman"/>
          <w:sz w:val="22"/>
          <w:szCs w:val="22"/>
        </w:rPr>
      </w:pPr>
      <w:r w:rsidRPr="009A0F8E">
        <w:rPr>
          <w:rFonts w:ascii="Times New Roman" w:hAnsi="Times New Roman" w:cs="Times New Roman"/>
          <w:sz w:val="22"/>
          <w:szCs w:val="22"/>
        </w:rPr>
        <w:t>2. Банк информирует о том, что денежные средства Клиентов, зачисляемые на счета для проведения брокерских операций и (или) передаваемые Банку, как брокеру, не подлежат страхованию в соответствии с Федеральным законом от 23.12.2003 № 177-ФЗ «О страховании вкладов в банках Российской Федерации».</w:t>
      </w:r>
    </w:p>
    <w:p w:rsidR="007F50A8" w:rsidRDefault="009A0F8E">
      <w:pPr>
        <w:pStyle w:val="Default"/>
        <w:spacing w:after="120"/>
        <w:ind w:firstLine="709"/>
        <w:contextualSpacing/>
        <w:mirrorIndents/>
        <w:jc w:val="both"/>
        <w:rPr>
          <w:rFonts w:ascii="Times New Roman" w:hAnsi="Times New Roman" w:cs="Times New Roman"/>
          <w:sz w:val="22"/>
          <w:szCs w:val="22"/>
        </w:rPr>
      </w:pPr>
      <w:r w:rsidRPr="009A0F8E">
        <w:rPr>
          <w:rFonts w:ascii="Times New Roman" w:hAnsi="Times New Roman" w:cs="Times New Roman"/>
          <w:sz w:val="22"/>
          <w:szCs w:val="22"/>
        </w:rPr>
        <w:t>3. Настоящая Декларация (уведомление) является неотъемлемой частью Договора, заключаемого между Банком, осуществляющим брокерскую деятельность</w:t>
      </w:r>
      <w:r w:rsidR="007E393C">
        <w:rPr>
          <w:rFonts w:ascii="Times New Roman" w:hAnsi="Times New Roman" w:cs="Times New Roman"/>
          <w:sz w:val="22"/>
          <w:szCs w:val="22"/>
        </w:rPr>
        <w:t>,</w:t>
      </w:r>
      <w:r w:rsidRPr="009A0F8E">
        <w:rPr>
          <w:rFonts w:ascii="Times New Roman" w:hAnsi="Times New Roman" w:cs="Times New Roman"/>
          <w:sz w:val="22"/>
          <w:szCs w:val="22"/>
        </w:rPr>
        <w:t xml:space="preserve"> и Клиентом.</w:t>
      </w:r>
    </w:p>
    <w:p w:rsidR="007F50A8" w:rsidRDefault="009A0F8E">
      <w:pPr>
        <w:pStyle w:val="Default"/>
        <w:spacing w:after="120"/>
        <w:ind w:firstLine="709"/>
        <w:contextualSpacing/>
        <w:mirrorIndents/>
        <w:jc w:val="both"/>
        <w:rPr>
          <w:rFonts w:ascii="Times New Roman" w:hAnsi="Times New Roman" w:cs="Times New Roman"/>
          <w:sz w:val="22"/>
          <w:szCs w:val="22"/>
        </w:rPr>
      </w:pPr>
      <w:r w:rsidRPr="009A0F8E">
        <w:rPr>
          <w:rFonts w:ascii="Times New Roman" w:hAnsi="Times New Roman" w:cs="Times New Roman"/>
          <w:sz w:val="22"/>
          <w:szCs w:val="22"/>
        </w:rPr>
        <w:t>4. Клиент должен осознавать факт того, что любые инвестиции на финансовом рынке являются рискованными. Риск представляет собой возможность возникновения убытков при осуществлении финансовых операций в связи с неблагоприятным влиянием различного рода факторов.</w:t>
      </w:r>
    </w:p>
    <w:p w:rsidR="007F50A8" w:rsidRDefault="000118FB">
      <w:pPr>
        <w:pStyle w:val="Default"/>
        <w:spacing w:after="120"/>
        <w:ind w:firstLine="709"/>
        <w:contextualSpacing/>
        <w:mirrorIndents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5. </w:t>
      </w:r>
      <w:r w:rsidR="009A0F8E" w:rsidRPr="009A0F8E">
        <w:rPr>
          <w:rFonts w:ascii="Times New Roman" w:hAnsi="Times New Roman" w:cs="Times New Roman"/>
          <w:sz w:val="22"/>
          <w:szCs w:val="22"/>
        </w:rPr>
        <w:t>Обращаем Ваше внимание на то, что настоящая Декларация о рисках не раскрывает информацию обо всех рисках на рынке ценных бумаг вследствие разнообразия возможных к возникновению ситуаций, в Декларации указаны основные риски.</w:t>
      </w:r>
    </w:p>
    <w:p w:rsidR="007F50A8" w:rsidRDefault="009A0F8E">
      <w:pPr>
        <w:pStyle w:val="Default"/>
        <w:spacing w:after="120"/>
        <w:ind w:firstLine="709"/>
        <w:contextualSpacing/>
        <w:mirrorIndents/>
        <w:jc w:val="both"/>
        <w:rPr>
          <w:rFonts w:ascii="Times New Roman" w:hAnsi="Times New Roman" w:cs="Times New Roman"/>
          <w:sz w:val="22"/>
          <w:szCs w:val="22"/>
        </w:rPr>
      </w:pPr>
      <w:r w:rsidRPr="009A0F8E">
        <w:rPr>
          <w:rFonts w:ascii="Times New Roman" w:hAnsi="Times New Roman" w:cs="Times New Roman"/>
          <w:sz w:val="22"/>
          <w:szCs w:val="22"/>
        </w:rPr>
        <w:t>6. Клиенту необходимо определить приемлемый уровень риска для себя, реально оценить свои возможности и ответственно подойти к решению вопроса о совершении операций на рынке ценных бумаг, в том числе учитывать факторы риска, приведенные в настоящей Декларации.</w:t>
      </w:r>
    </w:p>
    <w:p w:rsidR="007F50A8" w:rsidRDefault="009A0F8E">
      <w:pPr>
        <w:pStyle w:val="Default"/>
        <w:spacing w:after="120"/>
        <w:ind w:firstLine="709"/>
        <w:contextualSpacing/>
        <w:mirrorIndents/>
        <w:jc w:val="both"/>
        <w:rPr>
          <w:rFonts w:ascii="Times New Roman" w:hAnsi="Times New Roman" w:cs="Times New Roman"/>
          <w:b/>
          <w:sz w:val="22"/>
          <w:szCs w:val="22"/>
        </w:rPr>
      </w:pPr>
      <w:r w:rsidRPr="009A0F8E">
        <w:rPr>
          <w:rFonts w:ascii="Times New Roman" w:hAnsi="Times New Roman" w:cs="Times New Roman"/>
          <w:sz w:val="22"/>
          <w:szCs w:val="22"/>
        </w:rPr>
        <w:t>7</w:t>
      </w:r>
      <w:r w:rsidRPr="009A0F8E">
        <w:rPr>
          <w:rFonts w:ascii="Times New Roman" w:hAnsi="Times New Roman" w:cs="Times New Roman"/>
          <w:b/>
          <w:sz w:val="22"/>
          <w:szCs w:val="22"/>
        </w:rPr>
        <w:t>. Информирование о рисках, связанных с совершением операций на рынке ценных бумаг:</w:t>
      </w:r>
    </w:p>
    <w:p w:rsidR="007F50A8" w:rsidRDefault="009A0F8E">
      <w:pPr>
        <w:pStyle w:val="Default"/>
        <w:spacing w:after="120"/>
        <w:ind w:firstLine="709"/>
        <w:contextualSpacing/>
        <w:mirrorIndents/>
        <w:jc w:val="both"/>
        <w:rPr>
          <w:rFonts w:ascii="Times New Roman" w:hAnsi="Times New Roman" w:cs="Times New Roman"/>
          <w:sz w:val="22"/>
          <w:szCs w:val="22"/>
        </w:rPr>
      </w:pPr>
      <w:r w:rsidRPr="009A0F8E">
        <w:rPr>
          <w:rFonts w:ascii="Times New Roman" w:hAnsi="Times New Roman" w:cs="Times New Roman"/>
          <w:sz w:val="22"/>
          <w:szCs w:val="22"/>
        </w:rPr>
        <w:t>7.1. Системный риск</w:t>
      </w:r>
    </w:p>
    <w:p w:rsidR="007F50A8" w:rsidRDefault="009A0F8E">
      <w:pPr>
        <w:pStyle w:val="Default"/>
        <w:spacing w:after="120"/>
        <w:ind w:firstLine="709"/>
        <w:contextualSpacing/>
        <w:mirrorIndents/>
        <w:jc w:val="both"/>
        <w:rPr>
          <w:rFonts w:ascii="Times New Roman" w:hAnsi="Times New Roman" w:cs="Times New Roman"/>
          <w:sz w:val="22"/>
          <w:szCs w:val="22"/>
        </w:rPr>
      </w:pPr>
      <w:r w:rsidRPr="009A0F8E">
        <w:rPr>
          <w:rFonts w:ascii="Times New Roman" w:hAnsi="Times New Roman" w:cs="Times New Roman"/>
          <w:sz w:val="22"/>
          <w:szCs w:val="22"/>
        </w:rPr>
        <w:t>Может затрагивать один или несколько финансовых институтов и проявляться в снижении их способности выполнять свои функции. В силу взаимодействия и взаимозависимости финансовых институтов между собой, оценка системного риска сложна, но его реализация может повлиять на всех участников финансового рынка.</w:t>
      </w:r>
    </w:p>
    <w:p w:rsidR="007F50A8" w:rsidRDefault="009A0F8E">
      <w:pPr>
        <w:pStyle w:val="Default"/>
        <w:spacing w:after="120"/>
        <w:ind w:firstLine="709"/>
        <w:contextualSpacing/>
        <w:mirrorIndents/>
        <w:jc w:val="both"/>
        <w:rPr>
          <w:rFonts w:ascii="Times New Roman" w:hAnsi="Times New Roman" w:cs="Times New Roman"/>
          <w:sz w:val="22"/>
          <w:szCs w:val="22"/>
        </w:rPr>
      </w:pPr>
      <w:r w:rsidRPr="009A0F8E">
        <w:rPr>
          <w:rFonts w:ascii="Times New Roman" w:hAnsi="Times New Roman" w:cs="Times New Roman"/>
          <w:sz w:val="22"/>
          <w:szCs w:val="22"/>
        </w:rPr>
        <w:t>7.2. Рыночный риск</w:t>
      </w:r>
    </w:p>
    <w:p w:rsidR="007F50A8" w:rsidRDefault="009A0F8E">
      <w:pPr>
        <w:pStyle w:val="Default"/>
        <w:spacing w:after="120"/>
        <w:ind w:firstLine="709"/>
        <w:contextualSpacing/>
        <w:mirrorIndents/>
        <w:jc w:val="both"/>
        <w:rPr>
          <w:rFonts w:ascii="Times New Roman" w:hAnsi="Times New Roman" w:cs="Times New Roman"/>
          <w:sz w:val="22"/>
          <w:szCs w:val="22"/>
        </w:rPr>
      </w:pPr>
      <w:r w:rsidRPr="009A0F8E">
        <w:rPr>
          <w:rFonts w:ascii="Times New Roman" w:hAnsi="Times New Roman" w:cs="Times New Roman"/>
          <w:sz w:val="22"/>
          <w:szCs w:val="22"/>
        </w:rPr>
        <w:t>Проявляется в неблагоприятном изменении цен (стоимости) принадлежащих Клиенту финансовых инструментов, в том числе из-за изменения политической ситуации, резкой девальвации национальной валюты, кризиса рынка государственных долговых обязательств, банковского и валютного кризиса, обстоятельств непреодолимой силы и как следствие, приводит к снижению доходности и (или) убыткам. Рыночный (ценовой) риск проявляется в увеличении проданных финансовых инструментов и (или) в уменьшении цены купленных финансовых инструментов, в связи с чем стоимость портфеля Клиента может снижаться, а рост его стоимости в прошлом не означает роста в будущем. К рыночным рискам относятся:</w:t>
      </w:r>
    </w:p>
    <w:p w:rsidR="007F50A8" w:rsidRDefault="009A0F8E">
      <w:pPr>
        <w:pStyle w:val="Default"/>
        <w:spacing w:after="120"/>
        <w:ind w:firstLine="709"/>
        <w:contextualSpacing/>
        <w:mirrorIndents/>
        <w:jc w:val="both"/>
        <w:rPr>
          <w:rFonts w:ascii="Times New Roman" w:hAnsi="Times New Roman" w:cs="Times New Roman"/>
          <w:sz w:val="22"/>
          <w:szCs w:val="22"/>
        </w:rPr>
      </w:pPr>
      <w:r w:rsidRPr="009A0F8E">
        <w:rPr>
          <w:rFonts w:ascii="Times New Roman" w:hAnsi="Times New Roman" w:cs="Times New Roman"/>
          <w:sz w:val="22"/>
          <w:szCs w:val="22"/>
        </w:rPr>
        <w:t>7.2.1. Валютный риск</w:t>
      </w:r>
    </w:p>
    <w:p w:rsidR="007F50A8" w:rsidRDefault="009A0F8E">
      <w:pPr>
        <w:pStyle w:val="Default"/>
        <w:spacing w:after="120"/>
        <w:ind w:firstLine="709"/>
        <w:contextualSpacing/>
        <w:mirrorIndents/>
        <w:jc w:val="both"/>
        <w:rPr>
          <w:rFonts w:ascii="Times New Roman" w:hAnsi="Times New Roman" w:cs="Times New Roman"/>
          <w:sz w:val="22"/>
          <w:szCs w:val="22"/>
        </w:rPr>
      </w:pPr>
      <w:r w:rsidRPr="009A0F8E">
        <w:rPr>
          <w:rFonts w:ascii="Times New Roman" w:hAnsi="Times New Roman" w:cs="Times New Roman"/>
          <w:sz w:val="22"/>
          <w:szCs w:val="22"/>
        </w:rPr>
        <w:t>Проявляется в неблагоприятном изменении курса рубля по отношению к иностранной валюте, при котором доходы от владения финансовыми инструментами могут быть подвергнуты инфляционному воздействию (снижению реальной покупательной способности). Реализация валютного риска и как следствие изменение размера обязательств по финансовым инструментам, может привести к убыткам или к затруднению возможности рассчитываться по ним;</w:t>
      </w:r>
    </w:p>
    <w:p w:rsidR="007F50A8" w:rsidRDefault="009A0F8E">
      <w:pPr>
        <w:pStyle w:val="Default"/>
        <w:spacing w:after="120"/>
        <w:ind w:firstLine="709"/>
        <w:contextualSpacing/>
        <w:mirrorIndents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A0F8E">
        <w:rPr>
          <w:rFonts w:ascii="Times New Roman" w:hAnsi="Times New Roman" w:cs="Times New Roman"/>
          <w:sz w:val="22"/>
          <w:szCs w:val="22"/>
        </w:rPr>
        <w:t>7.2.2. Процентный риск</w:t>
      </w:r>
    </w:p>
    <w:p w:rsidR="007F50A8" w:rsidRDefault="009A0F8E">
      <w:pPr>
        <w:pStyle w:val="Default"/>
        <w:spacing w:after="120"/>
        <w:ind w:firstLine="709"/>
        <w:contextualSpacing/>
        <w:mirrorIndents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A0F8E">
        <w:rPr>
          <w:rFonts w:ascii="Times New Roman" w:hAnsi="Times New Roman" w:cs="Times New Roman"/>
          <w:color w:val="auto"/>
          <w:sz w:val="22"/>
          <w:szCs w:val="22"/>
        </w:rPr>
        <w:t>Проявляется в неблагоприятном изменении процентной ставки, влияющей на курсовую стоимость облигаций с фиксированным доходом. Процентный риск может быть обусловлен несовпадением сроков востребования (погашения) требований и обязательств, а также неодинаковой степенью изменения процентных ставок по требованиям и обязательствам.</w:t>
      </w:r>
    </w:p>
    <w:p w:rsidR="007F50A8" w:rsidRDefault="009A0F8E">
      <w:pPr>
        <w:pStyle w:val="Default"/>
        <w:spacing w:after="120"/>
        <w:ind w:firstLine="709"/>
        <w:contextualSpacing/>
        <w:mirrorIndents/>
        <w:jc w:val="both"/>
        <w:rPr>
          <w:rFonts w:ascii="Times New Roman" w:hAnsi="Times New Roman" w:cs="Times New Roman"/>
          <w:color w:val="0070C0"/>
          <w:sz w:val="22"/>
          <w:szCs w:val="22"/>
        </w:rPr>
      </w:pPr>
      <w:r w:rsidRPr="009A0F8E">
        <w:rPr>
          <w:rFonts w:ascii="Times New Roman" w:hAnsi="Times New Roman" w:cs="Times New Roman"/>
          <w:color w:val="auto"/>
          <w:sz w:val="22"/>
          <w:szCs w:val="22"/>
        </w:rPr>
        <w:lastRenderedPageBreak/>
        <w:t>7.3. Риск банкротства эмитента акций</w:t>
      </w:r>
    </w:p>
    <w:p w:rsidR="007F50A8" w:rsidRDefault="009A0F8E">
      <w:pPr>
        <w:pStyle w:val="Default"/>
        <w:spacing w:after="120"/>
        <w:ind w:firstLine="709"/>
        <w:contextualSpacing/>
        <w:mirrorIndents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72118">
        <w:rPr>
          <w:rFonts w:ascii="Times New Roman" w:hAnsi="Times New Roman" w:cs="Times New Roman"/>
          <w:color w:val="auto"/>
          <w:sz w:val="22"/>
          <w:szCs w:val="22"/>
        </w:rPr>
        <w:t xml:space="preserve">Проявляется в </w:t>
      </w:r>
      <w:r w:rsidR="004465D7" w:rsidRPr="00B72118">
        <w:rPr>
          <w:rFonts w:ascii="Times New Roman" w:hAnsi="Times New Roman" w:cs="Times New Roman"/>
          <w:color w:val="auto"/>
          <w:sz w:val="22"/>
          <w:szCs w:val="22"/>
        </w:rPr>
        <w:t xml:space="preserve">наступлении неплатежеспособности эмитента ценной бумаги, что ведет к </w:t>
      </w:r>
      <w:r w:rsidRPr="00B72118">
        <w:rPr>
          <w:rFonts w:ascii="Times New Roman" w:hAnsi="Times New Roman" w:cs="Times New Roman"/>
          <w:color w:val="auto"/>
          <w:sz w:val="22"/>
          <w:szCs w:val="22"/>
        </w:rPr>
        <w:t>резком</w:t>
      </w:r>
      <w:r w:rsidR="004465D7" w:rsidRPr="00B72118">
        <w:rPr>
          <w:rFonts w:ascii="Times New Roman" w:hAnsi="Times New Roman" w:cs="Times New Roman"/>
          <w:color w:val="auto"/>
          <w:sz w:val="22"/>
          <w:szCs w:val="22"/>
        </w:rPr>
        <w:t>у падению</w:t>
      </w:r>
      <w:r w:rsidRPr="00B72118">
        <w:rPr>
          <w:rFonts w:ascii="Times New Roman" w:hAnsi="Times New Roman" w:cs="Times New Roman"/>
          <w:color w:val="auto"/>
          <w:sz w:val="22"/>
          <w:szCs w:val="22"/>
        </w:rPr>
        <w:t xml:space="preserve"> цены акций акционерного общества, признанного несостоятельным</w:t>
      </w:r>
      <w:r w:rsidR="00D56DD4" w:rsidRPr="00B72118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:rsidR="007F50A8" w:rsidRDefault="00D56DD4">
      <w:pPr>
        <w:pStyle w:val="Default"/>
        <w:spacing w:after="120"/>
        <w:ind w:firstLine="709"/>
        <w:contextualSpacing/>
        <w:mirrorIndents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72118">
        <w:rPr>
          <w:rFonts w:ascii="Times New Roman" w:hAnsi="Times New Roman" w:cs="Times New Roman"/>
          <w:color w:val="auto"/>
          <w:sz w:val="22"/>
          <w:szCs w:val="22"/>
        </w:rPr>
        <w:t>Для того чтобы снизить рыночный риск, следует внимательно отнестись к выбору и диверсификации фина</w:t>
      </w:r>
      <w:r w:rsidR="00B72118" w:rsidRPr="00B72118">
        <w:rPr>
          <w:rFonts w:ascii="Times New Roman" w:hAnsi="Times New Roman" w:cs="Times New Roman"/>
          <w:color w:val="auto"/>
          <w:sz w:val="22"/>
          <w:szCs w:val="22"/>
        </w:rPr>
        <w:t>нсовых инструментов. Кроме того.</w:t>
      </w:r>
      <w:r w:rsidRPr="00B72118">
        <w:rPr>
          <w:rFonts w:ascii="Times New Roman" w:hAnsi="Times New Roman" w:cs="Times New Roman"/>
          <w:color w:val="auto"/>
          <w:sz w:val="22"/>
          <w:szCs w:val="22"/>
        </w:rPr>
        <w:t xml:space="preserve"> Клиенту необходимо внимательно ознакомиться с условиями взаимодействия с Банком для того, чтобы оценить расходы, с которыми будут связаны владение и операции с финансовыми инструментами, и убедиться в том, что они приемлемы для него и не лишают ожидаемого дохода.</w:t>
      </w:r>
    </w:p>
    <w:p w:rsidR="007F50A8" w:rsidRDefault="009A0F8E">
      <w:pPr>
        <w:pStyle w:val="Default"/>
        <w:spacing w:after="120"/>
        <w:ind w:firstLine="709"/>
        <w:contextualSpacing/>
        <w:mirrorIndents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A0F8E">
        <w:rPr>
          <w:rFonts w:ascii="Times New Roman" w:hAnsi="Times New Roman" w:cs="Times New Roman"/>
          <w:color w:val="auto"/>
          <w:sz w:val="22"/>
          <w:szCs w:val="22"/>
        </w:rPr>
        <w:t>7.4. Риск ликвидности</w:t>
      </w:r>
    </w:p>
    <w:p w:rsidR="007F50A8" w:rsidRDefault="009A0F8E">
      <w:pPr>
        <w:pStyle w:val="Default"/>
        <w:spacing w:after="120"/>
        <w:ind w:firstLine="709"/>
        <w:contextualSpacing/>
        <w:mirrorIndents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A0F8E">
        <w:rPr>
          <w:rFonts w:ascii="Times New Roman" w:hAnsi="Times New Roman" w:cs="Times New Roman"/>
          <w:color w:val="auto"/>
          <w:sz w:val="22"/>
          <w:szCs w:val="22"/>
        </w:rPr>
        <w:t>Проявляется в снижении возможности реализовать финансовые инструменты по необходимой цене из-за снижения спроса на них, в связи с чем быстрая продажа финансовых инструментов может привести к убыткам.</w:t>
      </w:r>
    </w:p>
    <w:p w:rsidR="007F50A8" w:rsidRDefault="009A0F8E">
      <w:pPr>
        <w:pStyle w:val="Default"/>
        <w:spacing w:after="120"/>
        <w:ind w:firstLine="709"/>
        <w:contextualSpacing/>
        <w:mirrorIndents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A0F8E">
        <w:rPr>
          <w:rFonts w:ascii="Times New Roman" w:hAnsi="Times New Roman" w:cs="Times New Roman"/>
          <w:color w:val="auto"/>
          <w:sz w:val="22"/>
          <w:szCs w:val="22"/>
        </w:rPr>
        <w:t>7.5. Кредитный риск</w:t>
      </w:r>
    </w:p>
    <w:p w:rsidR="007F50A8" w:rsidRDefault="009A0F8E">
      <w:pPr>
        <w:pStyle w:val="Default"/>
        <w:spacing w:after="120"/>
        <w:ind w:firstLine="709"/>
        <w:contextualSpacing/>
        <w:mirrorIndents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A0F8E">
        <w:rPr>
          <w:rFonts w:ascii="Times New Roman" w:hAnsi="Times New Roman" w:cs="Times New Roman"/>
          <w:color w:val="auto"/>
          <w:sz w:val="22"/>
          <w:szCs w:val="22"/>
        </w:rPr>
        <w:t>Заключается в возможности невыполнения обязательств, принятых на себя другими лицами. К числу кредитных рисков относятся следующие риски:</w:t>
      </w:r>
    </w:p>
    <w:p w:rsidR="007F50A8" w:rsidRDefault="009A0F8E">
      <w:pPr>
        <w:pStyle w:val="Default"/>
        <w:spacing w:after="120"/>
        <w:ind w:firstLine="709"/>
        <w:contextualSpacing/>
        <w:mirrorIndents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A0F8E">
        <w:rPr>
          <w:rFonts w:ascii="Times New Roman" w:hAnsi="Times New Roman" w:cs="Times New Roman"/>
          <w:color w:val="auto"/>
          <w:sz w:val="22"/>
          <w:szCs w:val="22"/>
        </w:rPr>
        <w:t>7.5.1. Риск дефолта по облигациям и иным долговым ценным бумагам</w:t>
      </w:r>
    </w:p>
    <w:p w:rsidR="007F50A8" w:rsidRDefault="009A0F8E">
      <w:pPr>
        <w:pStyle w:val="Default"/>
        <w:spacing w:after="120"/>
        <w:ind w:firstLine="709"/>
        <w:contextualSpacing/>
        <w:mirrorIndents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A0F8E">
        <w:rPr>
          <w:rFonts w:ascii="Times New Roman" w:hAnsi="Times New Roman" w:cs="Times New Roman"/>
          <w:color w:val="auto"/>
          <w:sz w:val="22"/>
          <w:szCs w:val="22"/>
        </w:rPr>
        <w:t xml:space="preserve">Заключается в возможности неплатежеспособности эмитента долговых ценных бумаг, что приведет к невозможности или снижению вероятности погасить ее в срок и в полном объеме; </w:t>
      </w:r>
    </w:p>
    <w:p w:rsidR="007F50A8" w:rsidRDefault="009A0F8E">
      <w:pPr>
        <w:pStyle w:val="Default"/>
        <w:spacing w:after="120"/>
        <w:ind w:firstLine="709"/>
        <w:contextualSpacing/>
        <w:mirrorIndents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A0F8E">
        <w:rPr>
          <w:rFonts w:ascii="Times New Roman" w:hAnsi="Times New Roman" w:cs="Times New Roman"/>
          <w:color w:val="auto"/>
          <w:sz w:val="22"/>
          <w:szCs w:val="22"/>
        </w:rPr>
        <w:t>7.5.2. Риск контрагента и (или) третьего лица</w:t>
      </w:r>
    </w:p>
    <w:p w:rsidR="007F50A8" w:rsidRDefault="009A0F8E">
      <w:pPr>
        <w:pStyle w:val="Default"/>
        <w:spacing w:after="120"/>
        <w:ind w:firstLine="709"/>
        <w:contextualSpacing/>
        <w:mirrorIndents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A0F8E">
        <w:rPr>
          <w:rFonts w:ascii="Times New Roman" w:hAnsi="Times New Roman" w:cs="Times New Roman"/>
          <w:color w:val="auto"/>
          <w:sz w:val="22"/>
          <w:szCs w:val="22"/>
        </w:rPr>
        <w:t>Проявляется в риске неисполнения обязательств перед Клиентом и (или) Банком, как брокером и (или) участником клиринга со стороны контрагентов по сделкам, в том числе при совершении операций на внебиржевом рынке. Банк, как брокер и (или) участник клиринга не может исключить риск контрагента и (или) третьего лица, участвующего в исполнении сделок, совершенных Банком, как брокером. По сделкам, совершенным на торгах организатора торговли возможны случаи прекращения обязательств и требований Клиента, в порядке и на условиях, предусмотренных нормативными документами клиринговых и расчетных организаций.</w:t>
      </w:r>
    </w:p>
    <w:p w:rsidR="007F50A8" w:rsidRDefault="009A0F8E">
      <w:pPr>
        <w:pStyle w:val="Default"/>
        <w:spacing w:after="120"/>
        <w:ind w:firstLine="709"/>
        <w:contextualSpacing/>
        <w:mirrorIndents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A0F8E">
        <w:rPr>
          <w:rFonts w:ascii="Times New Roman" w:hAnsi="Times New Roman" w:cs="Times New Roman"/>
          <w:color w:val="auto"/>
          <w:sz w:val="22"/>
          <w:szCs w:val="22"/>
        </w:rPr>
        <w:t xml:space="preserve"> 7.6. Правовой риск</w:t>
      </w:r>
    </w:p>
    <w:p w:rsidR="007F50A8" w:rsidRDefault="009A0F8E">
      <w:pPr>
        <w:pStyle w:val="Default"/>
        <w:spacing w:after="120"/>
        <w:ind w:firstLine="709"/>
        <w:contextualSpacing/>
        <w:mirrorIndents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A0F8E">
        <w:rPr>
          <w:rFonts w:ascii="Times New Roman" w:hAnsi="Times New Roman" w:cs="Times New Roman"/>
          <w:color w:val="auto"/>
          <w:sz w:val="22"/>
          <w:szCs w:val="22"/>
        </w:rPr>
        <w:t>Связан с возможными изменениями действующего законодательства Российской Федерации и (или) нормативных актов, стандартов саморегулируемых организаций, регулирующих рынок ценных бумаг, или иные отрасли экономики, в том числе возможно изменение правил расчета и ставок налога, отмена налоговых вычетов, которые могут привести к негативным последствиям для Клиента.</w:t>
      </w:r>
    </w:p>
    <w:p w:rsidR="007F50A8" w:rsidRDefault="009A0F8E">
      <w:pPr>
        <w:pStyle w:val="Default"/>
        <w:spacing w:after="120"/>
        <w:ind w:firstLine="709"/>
        <w:contextualSpacing/>
        <w:mirrorIndents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A0F8E">
        <w:rPr>
          <w:rFonts w:ascii="Times New Roman" w:hAnsi="Times New Roman" w:cs="Times New Roman"/>
          <w:color w:val="auto"/>
          <w:sz w:val="22"/>
          <w:szCs w:val="22"/>
        </w:rPr>
        <w:t>7.7. Операционный риск</w:t>
      </w:r>
    </w:p>
    <w:p w:rsidR="007F50A8" w:rsidRDefault="009A0F8E">
      <w:pPr>
        <w:pStyle w:val="Default"/>
        <w:spacing w:after="120"/>
        <w:ind w:firstLine="709"/>
        <w:contextualSpacing/>
        <w:mirrorIndents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A0F8E">
        <w:rPr>
          <w:rFonts w:ascii="Times New Roman" w:hAnsi="Times New Roman" w:cs="Times New Roman"/>
          <w:color w:val="auto"/>
          <w:sz w:val="22"/>
          <w:szCs w:val="22"/>
        </w:rPr>
        <w:t>Заключается в возможности причинения убытков Клиенту в результате нарушения внутренних процедур и (или) требований, установленных нормативными документами Банка, ошибок и недобросовестных действий работников Банка, сбоев в работе технических средств Банка и его партнеров, инфраструктурных организаций, в том числе организаторов торгов, клиринговых организаций, а также других организаций, связанных с предоставлением брокерских услуг.</w:t>
      </w:r>
    </w:p>
    <w:p w:rsidR="007F50A8" w:rsidRDefault="009A0F8E">
      <w:pPr>
        <w:pStyle w:val="Default"/>
        <w:spacing w:after="120"/>
        <w:ind w:firstLine="709"/>
        <w:contextualSpacing/>
        <w:mirrorIndents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A0F8E">
        <w:rPr>
          <w:rFonts w:ascii="Times New Roman" w:hAnsi="Times New Roman" w:cs="Times New Roman"/>
          <w:color w:val="auto"/>
          <w:sz w:val="22"/>
          <w:szCs w:val="22"/>
        </w:rPr>
        <w:t xml:space="preserve">8. </w:t>
      </w:r>
      <w:r w:rsidRPr="009A0F8E">
        <w:rPr>
          <w:rFonts w:ascii="Times New Roman" w:hAnsi="Times New Roman" w:cs="Times New Roman"/>
          <w:b/>
          <w:color w:val="auto"/>
          <w:sz w:val="22"/>
          <w:szCs w:val="22"/>
        </w:rPr>
        <w:t>Информирование о рисках, связанных с совершением маржинальных сделок и сделок, приводящих к возникновению непокрытой позиции</w:t>
      </w:r>
      <w:r w:rsidRPr="009A0F8E">
        <w:rPr>
          <w:rFonts w:ascii="Times New Roman" w:hAnsi="Times New Roman" w:cs="Times New Roman"/>
          <w:color w:val="auto"/>
          <w:sz w:val="22"/>
          <w:szCs w:val="22"/>
        </w:rPr>
        <w:t>. Банк, как брокер, не предоставляет услуг, связанных с совершением маржинальных сделок</w:t>
      </w:r>
      <w:r w:rsidR="00C11498">
        <w:rPr>
          <w:rFonts w:ascii="Times New Roman" w:hAnsi="Times New Roman" w:cs="Times New Roman"/>
          <w:color w:val="auto"/>
          <w:sz w:val="22"/>
          <w:szCs w:val="22"/>
        </w:rPr>
        <w:t>,</w:t>
      </w:r>
      <w:r w:rsidRPr="009A0F8E">
        <w:rPr>
          <w:rFonts w:ascii="Times New Roman" w:hAnsi="Times New Roman" w:cs="Times New Roman"/>
          <w:color w:val="auto"/>
          <w:sz w:val="22"/>
          <w:szCs w:val="22"/>
        </w:rPr>
        <w:t xml:space="preserve"> и сделок, приводящих к возникновению непокрытой позиции, в связи с чем данный вид риска у Клиентов Банка отсутствует.</w:t>
      </w:r>
    </w:p>
    <w:p w:rsidR="007F50A8" w:rsidRDefault="009A0F8E">
      <w:pPr>
        <w:pStyle w:val="Default"/>
        <w:spacing w:after="120"/>
        <w:ind w:firstLine="709"/>
        <w:contextualSpacing/>
        <w:mirrorIndents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A0F8E">
        <w:rPr>
          <w:rFonts w:ascii="Times New Roman" w:hAnsi="Times New Roman" w:cs="Times New Roman"/>
          <w:color w:val="auto"/>
          <w:sz w:val="22"/>
          <w:szCs w:val="22"/>
        </w:rPr>
        <w:t xml:space="preserve">9. </w:t>
      </w:r>
      <w:r w:rsidRPr="009A0F8E">
        <w:rPr>
          <w:rFonts w:ascii="Times New Roman" w:hAnsi="Times New Roman" w:cs="Times New Roman"/>
          <w:b/>
          <w:color w:val="auto"/>
          <w:sz w:val="22"/>
          <w:szCs w:val="22"/>
        </w:rPr>
        <w:t xml:space="preserve">Информирование о рисках, связанных с приобретением иностранных ценных бумаг. </w:t>
      </w:r>
      <w:r w:rsidRPr="009A0F8E">
        <w:rPr>
          <w:rFonts w:ascii="Times New Roman" w:hAnsi="Times New Roman" w:cs="Times New Roman"/>
          <w:color w:val="auto"/>
          <w:sz w:val="22"/>
          <w:szCs w:val="22"/>
        </w:rPr>
        <w:t>Иностранные ценные бумаги могут быть приобретены за рубежом или на российском, в том числе организованном, фондовом рынке. Операциям с иностранными ценными бумагами присущи общие риски, связанные с операциями на рынке ценных бумаг, со следующими особенностями:</w:t>
      </w:r>
    </w:p>
    <w:p w:rsidR="007F50A8" w:rsidRDefault="009A0F8E">
      <w:pPr>
        <w:pStyle w:val="Default"/>
        <w:spacing w:after="120"/>
        <w:ind w:firstLine="709"/>
        <w:contextualSpacing/>
        <w:mirrorIndents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A0F8E">
        <w:rPr>
          <w:rFonts w:ascii="Times New Roman" w:hAnsi="Times New Roman" w:cs="Times New Roman"/>
          <w:color w:val="auto"/>
          <w:sz w:val="22"/>
          <w:szCs w:val="22"/>
        </w:rPr>
        <w:t>9.1. Системные риски</w:t>
      </w:r>
    </w:p>
    <w:p w:rsidR="007F50A8" w:rsidRDefault="009A0F8E">
      <w:pPr>
        <w:pStyle w:val="Default"/>
        <w:spacing w:after="120"/>
        <w:ind w:firstLine="709"/>
        <w:contextualSpacing/>
        <w:mirrorIndents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A0F8E">
        <w:rPr>
          <w:rFonts w:ascii="Times New Roman" w:hAnsi="Times New Roman" w:cs="Times New Roman"/>
          <w:color w:val="auto"/>
          <w:sz w:val="22"/>
          <w:szCs w:val="22"/>
        </w:rPr>
        <w:t xml:space="preserve">В связи с приобретением иностранных ценных бумаг кроме общих рисков рынка ценных бумаг таким операциям присущи системные риски, свойственные стране, где выпущены или обращаются ценные бумаги. К основным факторам, влияющим на уровень системного риска, относятся: политическая ситуация, особенности национального законодательства, валютного регулирования и вероятность их изменения, состояние государственных финансов, особенности финансовой системы страны места нахождения лица, обязанного по иностранной ценной бумаге. </w:t>
      </w:r>
      <w:r w:rsidRPr="009A0F8E">
        <w:rPr>
          <w:rFonts w:ascii="Times New Roman" w:hAnsi="Times New Roman" w:cs="Times New Roman"/>
          <w:color w:val="auto"/>
          <w:sz w:val="22"/>
          <w:szCs w:val="22"/>
        </w:rPr>
        <w:lastRenderedPageBreak/>
        <w:t>Общепринятой интегральной оценкой системного риска инвестиций в иностранную ценную бумагу является «суверенный рейтинг» в иностранной или национальной валюте, присвоенный стране, в которой зарегистрирован эмитент, международными рейтинговыми агентствами MOODY’S, STANDARD &amp; POOR'S, FITCH IBCA. В случае совершения сделок с иностранными депозитарными расписками помимо рисков, связанных с эмитентом самих расписок, необходимо учитывать и риски, связанные с эмитентом представляемых данными расписками иностранных ценных бумаг.</w:t>
      </w:r>
    </w:p>
    <w:p w:rsidR="007F50A8" w:rsidRDefault="009A0F8E">
      <w:pPr>
        <w:pStyle w:val="Default"/>
        <w:spacing w:after="120"/>
        <w:ind w:firstLine="709"/>
        <w:contextualSpacing/>
        <w:mirrorIndents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A0F8E">
        <w:rPr>
          <w:rFonts w:ascii="Times New Roman" w:hAnsi="Times New Roman" w:cs="Times New Roman"/>
          <w:color w:val="auto"/>
          <w:sz w:val="22"/>
          <w:szCs w:val="22"/>
        </w:rPr>
        <w:t>9.2. Правовые риски</w:t>
      </w:r>
    </w:p>
    <w:p w:rsidR="007F50A8" w:rsidRDefault="009A0F8E">
      <w:pPr>
        <w:pStyle w:val="Default"/>
        <w:spacing w:after="120"/>
        <w:ind w:firstLine="709"/>
        <w:contextualSpacing/>
        <w:mirrorIndents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A0F8E">
        <w:rPr>
          <w:rFonts w:ascii="Times New Roman" w:hAnsi="Times New Roman" w:cs="Times New Roman"/>
          <w:color w:val="auto"/>
          <w:sz w:val="22"/>
          <w:szCs w:val="22"/>
        </w:rPr>
        <w:t>В случае изменения регулятивных подходов к владению иностранными финансовыми инструментами, а также к учету прав на иностранные финансовые инструменты возможно возникновение их отчуждения вопреки планам владельца. При приобретении иностранных ценных бумаг необходимо учитывать, что предоставляемые по ним права и правила их осуществления могут существенно отличаться от прав по российским ценным бумагам.</w:t>
      </w:r>
    </w:p>
    <w:p w:rsidR="007F50A8" w:rsidRDefault="009A0F8E">
      <w:pPr>
        <w:pStyle w:val="Default"/>
        <w:spacing w:after="120"/>
        <w:ind w:firstLine="709"/>
        <w:contextualSpacing/>
        <w:mirrorIndents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A0F8E">
        <w:rPr>
          <w:rFonts w:ascii="Times New Roman" w:hAnsi="Times New Roman" w:cs="Times New Roman"/>
          <w:color w:val="auto"/>
          <w:sz w:val="22"/>
          <w:szCs w:val="22"/>
        </w:rPr>
        <w:t xml:space="preserve"> Возможности судебной защиты прав по иностранным ценным бумагам могут быть ограничены необходимостью обращения в зарубежные судебные и правоохранительные органы по установленным в такой стране правилам.</w:t>
      </w:r>
    </w:p>
    <w:p w:rsidR="007F50A8" w:rsidRDefault="009A0F8E">
      <w:pPr>
        <w:pStyle w:val="Default"/>
        <w:spacing w:after="120"/>
        <w:ind w:firstLine="709"/>
        <w:contextualSpacing/>
        <w:mirrorIndents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A0F8E">
        <w:rPr>
          <w:rFonts w:ascii="Times New Roman" w:hAnsi="Times New Roman" w:cs="Times New Roman"/>
          <w:color w:val="auto"/>
          <w:sz w:val="22"/>
          <w:szCs w:val="22"/>
        </w:rPr>
        <w:t>9.3. Раскрытие информации</w:t>
      </w:r>
    </w:p>
    <w:p w:rsidR="007F50A8" w:rsidRDefault="009A0F8E">
      <w:pPr>
        <w:pStyle w:val="Default"/>
        <w:spacing w:after="120"/>
        <w:ind w:firstLine="709"/>
        <w:contextualSpacing/>
        <w:mirrorIndents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A0F8E">
        <w:rPr>
          <w:rFonts w:ascii="Times New Roman" w:hAnsi="Times New Roman" w:cs="Times New Roman"/>
          <w:color w:val="auto"/>
          <w:sz w:val="22"/>
          <w:szCs w:val="22"/>
        </w:rPr>
        <w:t>Законодательство Российской Федерации допускает раскрытие информации в отношении иностранных ценных бумаг по правилам, действующим за рубежом, и на английском языке. Необходимо также учитывать отличия между принятыми в Российской Федерации правилами финансовой отчетности и международным стандартам финансовой отчетности.</w:t>
      </w:r>
    </w:p>
    <w:p w:rsidR="007F50A8" w:rsidRDefault="009A0F8E">
      <w:pPr>
        <w:pStyle w:val="Default"/>
        <w:spacing w:after="120"/>
        <w:ind w:firstLine="709"/>
        <w:contextualSpacing/>
        <w:mirrorIndents/>
        <w:jc w:val="both"/>
        <w:rPr>
          <w:rFonts w:ascii="Times New Roman" w:hAnsi="Times New Roman" w:cs="Times New Roman"/>
          <w:sz w:val="22"/>
          <w:szCs w:val="22"/>
        </w:rPr>
      </w:pPr>
      <w:r w:rsidRPr="009A0F8E">
        <w:rPr>
          <w:rFonts w:ascii="Times New Roman" w:hAnsi="Times New Roman" w:cs="Times New Roman"/>
          <w:color w:val="auto"/>
          <w:sz w:val="22"/>
          <w:szCs w:val="22"/>
        </w:rPr>
        <w:t>10.</w:t>
      </w:r>
      <w:r w:rsidR="000118F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9A0F8E">
        <w:rPr>
          <w:rFonts w:ascii="Times New Roman" w:hAnsi="Times New Roman" w:cs="Times New Roman"/>
          <w:b/>
          <w:color w:val="auto"/>
          <w:sz w:val="22"/>
          <w:szCs w:val="22"/>
        </w:rPr>
        <w:t>Информирование о рисках, связанных с заключением договоров, являющихся производными финансовыми инструментами (срочный рынок)</w:t>
      </w:r>
      <w:r w:rsidRPr="009A0F8E">
        <w:rPr>
          <w:rFonts w:ascii="Times New Roman" w:hAnsi="Times New Roman" w:cs="Times New Roman"/>
          <w:color w:val="auto"/>
          <w:sz w:val="22"/>
          <w:szCs w:val="22"/>
        </w:rPr>
        <w:t>. Банк, как брокер, не предоставляет услуг, связанных с совершением сделок на срочном рынке, поэтому данный вид риска отсутствует.</w:t>
      </w:r>
    </w:p>
    <w:p w:rsidR="007F50A8" w:rsidRDefault="009A0F8E">
      <w:pPr>
        <w:pStyle w:val="Default"/>
        <w:spacing w:after="120"/>
        <w:ind w:firstLine="709"/>
        <w:contextualSpacing/>
        <w:mirrorIndents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A0F8E">
        <w:rPr>
          <w:rFonts w:ascii="Times New Roman" w:hAnsi="Times New Roman" w:cs="Times New Roman"/>
          <w:color w:val="auto"/>
          <w:sz w:val="22"/>
          <w:szCs w:val="22"/>
        </w:rPr>
        <w:t>11</w:t>
      </w:r>
      <w:r w:rsidRPr="009A0F8E">
        <w:rPr>
          <w:rFonts w:ascii="Times New Roman" w:hAnsi="Times New Roman" w:cs="Times New Roman"/>
          <w:b/>
          <w:color w:val="auto"/>
          <w:sz w:val="22"/>
          <w:szCs w:val="22"/>
        </w:rPr>
        <w:t>. Информирование о рисках, связанных с использованием программ для электронных вычислительных машин, посредством которых предоставляются индивидуальные инвестиционные рекомендации</w:t>
      </w:r>
      <w:r w:rsidRPr="009A0F8E">
        <w:rPr>
          <w:rFonts w:ascii="Times New Roman" w:hAnsi="Times New Roman" w:cs="Times New Roman"/>
          <w:color w:val="auto"/>
          <w:sz w:val="22"/>
          <w:szCs w:val="22"/>
        </w:rPr>
        <w:t>. Банк не предоставляет услуги инвестиционного советника</w:t>
      </w:r>
      <w:r w:rsidR="00473D92" w:rsidRPr="00473D92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473D92" w:rsidRPr="005E6D80">
        <w:rPr>
          <w:rFonts w:ascii="Times New Roman" w:hAnsi="Times New Roman" w:cs="Times New Roman"/>
          <w:color w:val="auto"/>
          <w:sz w:val="22"/>
          <w:szCs w:val="22"/>
        </w:rPr>
        <w:t>(консультанта)</w:t>
      </w:r>
      <w:r w:rsidRPr="009A0F8E">
        <w:rPr>
          <w:rFonts w:ascii="Times New Roman" w:hAnsi="Times New Roman" w:cs="Times New Roman"/>
          <w:color w:val="auto"/>
          <w:sz w:val="22"/>
          <w:szCs w:val="22"/>
        </w:rPr>
        <w:t>, не использует электронные вычислительные машины, посредством которых предоставляются индивидуальные инвестиционные рекомендации, в связи с чем данный вид риска у Клиентов Банка отсутствует.</w:t>
      </w:r>
    </w:p>
    <w:p w:rsidR="007F50A8" w:rsidRDefault="009A0F8E">
      <w:pPr>
        <w:pStyle w:val="Default"/>
        <w:spacing w:after="120"/>
        <w:ind w:firstLine="709"/>
        <w:contextualSpacing/>
        <w:mirrorIndents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A0F8E">
        <w:rPr>
          <w:rFonts w:ascii="Times New Roman" w:hAnsi="Times New Roman" w:cs="Times New Roman"/>
          <w:color w:val="auto"/>
          <w:sz w:val="22"/>
          <w:szCs w:val="22"/>
        </w:rPr>
        <w:t xml:space="preserve">12. </w:t>
      </w:r>
      <w:r w:rsidRPr="009A0F8E">
        <w:rPr>
          <w:rFonts w:ascii="Times New Roman" w:hAnsi="Times New Roman" w:cs="Times New Roman"/>
          <w:b/>
          <w:color w:val="auto"/>
          <w:sz w:val="22"/>
          <w:szCs w:val="22"/>
        </w:rPr>
        <w:t>Информирование о рисках, связанных с использованием брокером в своих интересах денежных средств получателей финансовых услуг</w:t>
      </w:r>
      <w:r w:rsidRPr="009A0F8E">
        <w:rPr>
          <w:rFonts w:ascii="Times New Roman" w:hAnsi="Times New Roman" w:cs="Times New Roman"/>
          <w:color w:val="auto"/>
          <w:sz w:val="22"/>
          <w:szCs w:val="22"/>
        </w:rPr>
        <w:t>. Договором, заключенным между Банком и Клиентом, не предусмотрено использование Банком денежных средств и ценных бумаг Клиентов, в связи с чем данный вид риска у Клиентов Банка, находящихся на брокерском обслуживании, отсутствует.</w:t>
      </w:r>
    </w:p>
    <w:p w:rsidR="007F50A8" w:rsidRDefault="009A0F8E">
      <w:pPr>
        <w:pStyle w:val="Default"/>
        <w:spacing w:after="120"/>
        <w:ind w:firstLine="709"/>
        <w:contextualSpacing/>
        <w:mirrorIndents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A0F8E">
        <w:rPr>
          <w:rFonts w:ascii="Times New Roman" w:hAnsi="Times New Roman" w:cs="Times New Roman"/>
          <w:color w:val="auto"/>
          <w:sz w:val="22"/>
          <w:szCs w:val="22"/>
        </w:rPr>
        <w:t xml:space="preserve">13. </w:t>
      </w:r>
      <w:r w:rsidR="000118F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9A0F8E">
        <w:rPr>
          <w:rFonts w:ascii="Times New Roman" w:hAnsi="Times New Roman" w:cs="Times New Roman"/>
          <w:b/>
          <w:color w:val="auto"/>
          <w:sz w:val="22"/>
          <w:szCs w:val="22"/>
        </w:rPr>
        <w:t>Информирование об общем характере и (или) источниках конфликта интересов</w:t>
      </w:r>
      <w:r w:rsidRPr="009A0F8E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:rsidR="007F50A8" w:rsidRDefault="009A0F8E">
      <w:pPr>
        <w:pStyle w:val="Default"/>
        <w:spacing w:after="120"/>
        <w:ind w:firstLine="709"/>
        <w:contextualSpacing/>
        <w:mirrorIndents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A0F8E">
        <w:rPr>
          <w:rFonts w:ascii="Times New Roman" w:hAnsi="Times New Roman" w:cs="Times New Roman"/>
          <w:color w:val="auto"/>
          <w:sz w:val="22"/>
          <w:szCs w:val="22"/>
        </w:rPr>
        <w:t>В процессе осуществления брокерской деятельности возможно возникновение конфликта интересов – противоречия между имущественными и иными интересами Банка, как брокера, и (или) его работников, осуществляющих свою деятельность на основании трудового или гражданско-правового договора и клиента Банка, находящегося на брокерском обслуживании в Банке, в результате которого действия (бездействия) Банка и (или) его работников причиняют убытки Клиенту и (или) влекут иные неблагоприятные последствия для Клиента. Источником возникновения конфликта интересов может стать нарушение со стороны работников Банка принципов профессиональной деятельности, принципов работы с Клиентами, несоблюдение мер, обеспечивающих защиту интересов Клиента, несоблюдение правил выявления, контроля и предотвращения конфликта интересов.</w:t>
      </w:r>
    </w:p>
    <w:p w:rsidR="007F50A8" w:rsidRDefault="009A0F8E">
      <w:pPr>
        <w:pStyle w:val="Default"/>
        <w:spacing w:after="120"/>
        <w:ind w:firstLine="709"/>
        <w:contextualSpacing/>
        <w:mirrorIndents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A0F8E">
        <w:rPr>
          <w:rFonts w:ascii="Times New Roman" w:hAnsi="Times New Roman" w:cs="Times New Roman"/>
          <w:color w:val="auto"/>
          <w:sz w:val="22"/>
          <w:szCs w:val="22"/>
        </w:rPr>
        <w:t>14</w:t>
      </w:r>
      <w:r w:rsidRPr="009A0F8E">
        <w:rPr>
          <w:rFonts w:ascii="Times New Roman" w:hAnsi="Times New Roman" w:cs="Times New Roman"/>
          <w:b/>
          <w:color w:val="auto"/>
          <w:sz w:val="22"/>
          <w:szCs w:val="22"/>
        </w:rPr>
        <w:t>. Информирование о рисках, связанных с совмещением банком различных видов профессиональной деятельности.</w:t>
      </w:r>
    </w:p>
    <w:p w:rsidR="007F50A8" w:rsidRDefault="009A0F8E">
      <w:pPr>
        <w:pStyle w:val="Default"/>
        <w:spacing w:after="120"/>
        <w:ind w:firstLine="709"/>
        <w:contextualSpacing/>
        <w:mirrorIndents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A0F8E">
        <w:rPr>
          <w:rFonts w:ascii="Times New Roman" w:hAnsi="Times New Roman" w:cs="Times New Roman"/>
          <w:color w:val="auto"/>
          <w:sz w:val="22"/>
          <w:szCs w:val="22"/>
        </w:rPr>
        <w:t>Банк доводит до сведения всех Клиентов информацию о том, что, имея соответствующие лицензии, совмещает несколько видов профессиональной деятельности на рынке ценных бумаг: брокерской деятельности с дилерской и депозитарной деятельностью. Под рисками совмещения различных видов профессиональной деятельности на рынке ценных бумаг понимается возможность нанесения ущерба Клиенту вследствие:</w:t>
      </w:r>
    </w:p>
    <w:p w:rsidR="007F50A8" w:rsidRDefault="009A0F8E">
      <w:pPr>
        <w:pStyle w:val="Default"/>
        <w:numPr>
          <w:ilvl w:val="0"/>
          <w:numId w:val="2"/>
        </w:numPr>
        <w:tabs>
          <w:tab w:val="left" w:pos="284"/>
        </w:tabs>
        <w:spacing w:after="120"/>
        <w:ind w:left="0" w:firstLine="709"/>
        <w:contextualSpacing/>
        <w:mirrorIndents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A0F8E">
        <w:rPr>
          <w:rFonts w:ascii="Times New Roman" w:hAnsi="Times New Roman" w:cs="Times New Roman"/>
          <w:color w:val="auto"/>
          <w:sz w:val="22"/>
          <w:szCs w:val="22"/>
        </w:rPr>
        <w:lastRenderedPageBreak/>
        <w:t>неправомерного использования работниками Банка, осуществляющими профессиональную деятельность на рынке ценных бумаг, конфиденциальной информации при проведении операций (сделок) на рынке ценных бумаг;</w:t>
      </w:r>
    </w:p>
    <w:p w:rsidR="007F50A8" w:rsidRDefault="009A0F8E">
      <w:pPr>
        <w:pStyle w:val="Default"/>
        <w:numPr>
          <w:ilvl w:val="0"/>
          <w:numId w:val="2"/>
        </w:numPr>
        <w:tabs>
          <w:tab w:val="left" w:pos="284"/>
        </w:tabs>
        <w:spacing w:after="120"/>
        <w:ind w:left="0" w:firstLine="709"/>
        <w:contextualSpacing/>
        <w:mirrorIndents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A0F8E">
        <w:rPr>
          <w:rFonts w:ascii="Times New Roman" w:hAnsi="Times New Roman" w:cs="Times New Roman"/>
          <w:color w:val="auto"/>
          <w:sz w:val="22"/>
          <w:szCs w:val="22"/>
        </w:rPr>
        <w:t>возникновения конфликта интересов, а именно, нарушения принципа приоритетности интересов Клиента перед интересами Банка, которые могут привести в результате действий (бездействия) Банка и его работников к убыткам и/или неблагоприятным последствиям для Клиента;</w:t>
      </w:r>
    </w:p>
    <w:p w:rsidR="007F50A8" w:rsidRDefault="009A0F8E">
      <w:pPr>
        <w:pStyle w:val="Default"/>
        <w:numPr>
          <w:ilvl w:val="0"/>
          <w:numId w:val="2"/>
        </w:numPr>
        <w:tabs>
          <w:tab w:val="left" w:pos="284"/>
        </w:tabs>
        <w:spacing w:after="120"/>
        <w:ind w:left="0" w:firstLine="709"/>
        <w:contextualSpacing/>
        <w:mirrorIndents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A0F8E">
        <w:rPr>
          <w:rFonts w:ascii="Times New Roman" w:hAnsi="Times New Roman" w:cs="Times New Roman"/>
          <w:color w:val="auto"/>
          <w:sz w:val="22"/>
          <w:szCs w:val="22"/>
        </w:rPr>
        <w:t>неправомерного и/или ненадлежащего использования инсайдерской информации, полученной в связи с осуществлением профессиональной деятельности;</w:t>
      </w:r>
    </w:p>
    <w:p w:rsidR="007F50A8" w:rsidRDefault="009A0F8E">
      <w:pPr>
        <w:pStyle w:val="Default"/>
        <w:numPr>
          <w:ilvl w:val="0"/>
          <w:numId w:val="2"/>
        </w:numPr>
        <w:tabs>
          <w:tab w:val="left" w:pos="284"/>
        </w:tabs>
        <w:spacing w:after="120"/>
        <w:ind w:left="0" w:firstLine="709"/>
        <w:contextualSpacing/>
        <w:mirrorIndents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A0F8E">
        <w:rPr>
          <w:rFonts w:ascii="Times New Roman" w:hAnsi="Times New Roman" w:cs="Times New Roman"/>
          <w:color w:val="auto"/>
          <w:sz w:val="22"/>
          <w:szCs w:val="22"/>
        </w:rPr>
        <w:t>противоправного распоряжения работниками Банка ценными бумагами и денежными средствами Клиента;</w:t>
      </w:r>
    </w:p>
    <w:p w:rsidR="007F50A8" w:rsidRDefault="009A0F8E">
      <w:pPr>
        <w:pStyle w:val="Default"/>
        <w:numPr>
          <w:ilvl w:val="0"/>
          <w:numId w:val="2"/>
        </w:numPr>
        <w:tabs>
          <w:tab w:val="left" w:pos="284"/>
        </w:tabs>
        <w:spacing w:after="120"/>
        <w:ind w:left="0" w:firstLine="709"/>
        <w:contextualSpacing/>
        <w:mirrorIndents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A0F8E">
        <w:rPr>
          <w:rFonts w:ascii="Times New Roman" w:hAnsi="Times New Roman" w:cs="Times New Roman"/>
          <w:color w:val="auto"/>
          <w:sz w:val="22"/>
          <w:szCs w:val="22"/>
        </w:rPr>
        <w:t>осуществления работниками Банка противоправных действий, связанных с хранением и/или учетом прав на ценные бумаги Клиента;</w:t>
      </w:r>
    </w:p>
    <w:p w:rsidR="007F50A8" w:rsidRDefault="009A0F8E">
      <w:pPr>
        <w:pStyle w:val="Default"/>
        <w:numPr>
          <w:ilvl w:val="0"/>
          <w:numId w:val="2"/>
        </w:numPr>
        <w:tabs>
          <w:tab w:val="left" w:pos="284"/>
        </w:tabs>
        <w:spacing w:after="120"/>
        <w:ind w:left="0" w:firstLine="709"/>
        <w:contextualSpacing/>
        <w:mirrorIndents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A0F8E">
        <w:rPr>
          <w:rFonts w:ascii="Times New Roman" w:hAnsi="Times New Roman" w:cs="Times New Roman"/>
          <w:color w:val="auto"/>
          <w:sz w:val="22"/>
          <w:szCs w:val="22"/>
        </w:rPr>
        <w:t>необеспечения (ненадлежащего обеспечение) прав по ценным бумагам Клиента;</w:t>
      </w:r>
    </w:p>
    <w:p w:rsidR="007F50A8" w:rsidRDefault="009A0F8E">
      <w:pPr>
        <w:pStyle w:val="Default"/>
        <w:numPr>
          <w:ilvl w:val="0"/>
          <w:numId w:val="2"/>
        </w:numPr>
        <w:tabs>
          <w:tab w:val="left" w:pos="284"/>
        </w:tabs>
        <w:spacing w:after="120"/>
        <w:ind w:left="0" w:firstLine="709"/>
        <w:contextualSpacing/>
        <w:mirrorIndents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A0F8E">
        <w:rPr>
          <w:rFonts w:ascii="Times New Roman" w:hAnsi="Times New Roman" w:cs="Times New Roman"/>
          <w:color w:val="auto"/>
          <w:sz w:val="22"/>
          <w:szCs w:val="22"/>
        </w:rPr>
        <w:t>несвоевременного (ненадлежащего исполнения) сделок при совмещении брокерской и депозитарной деятельности;</w:t>
      </w:r>
    </w:p>
    <w:p w:rsidR="007F50A8" w:rsidRDefault="009A0F8E">
      <w:pPr>
        <w:pStyle w:val="Default"/>
        <w:numPr>
          <w:ilvl w:val="0"/>
          <w:numId w:val="2"/>
        </w:numPr>
        <w:tabs>
          <w:tab w:val="left" w:pos="284"/>
        </w:tabs>
        <w:spacing w:after="120"/>
        <w:ind w:left="0" w:firstLine="709"/>
        <w:contextualSpacing/>
        <w:mirrorIndents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A0F8E">
        <w:rPr>
          <w:rFonts w:ascii="Times New Roman" w:hAnsi="Times New Roman" w:cs="Times New Roman"/>
          <w:color w:val="auto"/>
          <w:sz w:val="22"/>
          <w:szCs w:val="22"/>
        </w:rPr>
        <w:t>недостаточно полного раскрытия информации в связи с осуществлением профессиональной деятельности.</w:t>
      </w:r>
    </w:p>
    <w:p w:rsidR="007F50A8" w:rsidRDefault="009A0F8E">
      <w:pPr>
        <w:spacing w:after="120" w:line="240" w:lineRule="auto"/>
        <w:ind w:firstLine="709"/>
        <w:contextualSpacing/>
        <w:mirrorIndents/>
        <w:jc w:val="both"/>
        <w:rPr>
          <w:rFonts w:ascii="Times New Roman" w:hAnsi="Times New Roman"/>
        </w:rPr>
      </w:pPr>
      <w:r w:rsidRPr="009A0F8E">
        <w:rPr>
          <w:rFonts w:ascii="Times New Roman" w:hAnsi="Times New Roman"/>
        </w:rPr>
        <w:t>При совмещении профессиональной деятельности с деятельностью кредитной организации возникает риск нанесения ущерба Клиенту при отзыве лицензии кредитной организации, который влечет за собой аннулирование лицензии профессионального участника.</w:t>
      </w:r>
      <w:bookmarkStart w:id="1" w:name="_Toc121760123"/>
    </w:p>
    <w:p w:rsidR="007F50A8" w:rsidRDefault="009A0F8E">
      <w:pPr>
        <w:spacing w:after="120" w:line="240" w:lineRule="auto"/>
        <w:ind w:firstLine="709"/>
        <w:contextualSpacing/>
        <w:mirrorIndents/>
        <w:jc w:val="both"/>
        <w:rPr>
          <w:rFonts w:ascii="Times New Roman" w:hAnsi="Times New Roman"/>
        </w:rPr>
      </w:pPr>
      <w:r w:rsidRPr="009A0F8E">
        <w:rPr>
          <w:rFonts w:ascii="Times New Roman" w:hAnsi="Times New Roman"/>
        </w:rPr>
        <w:t>При совмещении нескольких видов профессиональной деятельности существует риск возникновения недостаточности капитала для исполнения всех обязательств по возврату финансовых активов.</w:t>
      </w:r>
      <w:bookmarkEnd w:id="1"/>
    </w:p>
    <w:p w:rsidR="007F50A8" w:rsidRDefault="009A0F8E">
      <w:pPr>
        <w:spacing w:after="120" w:line="240" w:lineRule="auto"/>
        <w:ind w:firstLine="709"/>
        <w:contextualSpacing/>
        <w:mirrorIndents/>
        <w:jc w:val="both"/>
        <w:rPr>
          <w:rFonts w:ascii="Times New Roman" w:hAnsi="Times New Roman"/>
        </w:rPr>
      </w:pPr>
      <w:r w:rsidRPr="009A0F8E">
        <w:rPr>
          <w:rFonts w:ascii="Times New Roman" w:hAnsi="Times New Roman"/>
        </w:rPr>
        <w:t>Кроме вышеизложенного, Банк уведомляет о риске, связанном с возможным несанкционированным доступом к документам, направляемым Клиенту, во время их доставки (как при передаче документов в бумажном виде, так и с помощью электронных средств связи).</w:t>
      </w:r>
    </w:p>
    <w:p w:rsidR="007F50A8" w:rsidRDefault="009A0F8E">
      <w:pPr>
        <w:pStyle w:val="Default"/>
        <w:spacing w:after="120"/>
        <w:ind w:firstLine="709"/>
        <w:contextualSpacing/>
        <w:mirrorIndents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A0F8E">
        <w:rPr>
          <w:rFonts w:ascii="Times New Roman" w:hAnsi="Times New Roman" w:cs="Times New Roman"/>
          <w:color w:val="auto"/>
          <w:sz w:val="22"/>
          <w:szCs w:val="22"/>
        </w:rPr>
        <w:t xml:space="preserve">15. </w:t>
      </w:r>
      <w:r w:rsidRPr="009A0F8E">
        <w:rPr>
          <w:rFonts w:ascii="Times New Roman" w:hAnsi="Times New Roman" w:cs="Times New Roman"/>
          <w:b/>
          <w:color w:val="auto"/>
          <w:sz w:val="22"/>
          <w:szCs w:val="22"/>
        </w:rPr>
        <w:t>Дополнительная информация</w:t>
      </w:r>
    </w:p>
    <w:p w:rsidR="007F50A8" w:rsidRDefault="009A0F8E">
      <w:pPr>
        <w:pStyle w:val="Default"/>
        <w:spacing w:after="120"/>
        <w:ind w:firstLine="709"/>
        <w:contextualSpacing/>
        <w:mirrorIndents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A0F8E">
        <w:rPr>
          <w:rFonts w:ascii="Times New Roman" w:hAnsi="Times New Roman" w:cs="Times New Roman"/>
          <w:color w:val="auto"/>
          <w:sz w:val="22"/>
          <w:szCs w:val="22"/>
        </w:rPr>
        <w:t>Получатели финансовых услуг имеют право по письменному запросу, предоставленному в Банк</w:t>
      </w:r>
      <w:r w:rsidR="00402E9A">
        <w:rPr>
          <w:rFonts w:ascii="Times New Roman" w:hAnsi="Times New Roman" w:cs="Times New Roman"/>
          <w:color w:val="auto"/>
          <w:sz w:val="22"/>
          <w:szCs w:val="22"/>
        </w:rPr>
        <w:t>,</w:t>
      </w:r>
      <w:r w:rsidRPr="009A0F8E">
        <w:rPr>
          <w:rFonts w:ascii="Times New Roman" w:hAnsi="Times New Roman" w:cs="Times New Roman"/>
          <w:color w:val="auto"/>
          <w:sz w:val="22"/>
          <w:szCs w:val="22"/>
        </w:rPr>
        <w:t xml:space="preserve"> получать следующую информацию:</w:t>
      </w:r>
    </w:p>
    <w:p w:rsidR="007F50A8" w:rsidRDefault="009A0F8E">
      <w:pPr>
        <w:pStyle w:val="Default"/>
        <w:spacing w:after="120"/>
        <w:ind w:firstLine="709"/>
        <w:contextualSpacing/>
        <w:mirrorIndents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A0F8E">
        <w:rPr>
          <w:rFonts w:ascii="Times New Roman" w:hAnsi="Times New Roman" w:cs="Times New Roman"/>
          <w:color w:val="auto"/>
          <w:sz w:val="22"/>
          <w:szCs w:val="22"/>
        </w:rPr>
        <w:t>15.1. О видах и суммах платежей (порядке определения сумм платежей), которые получатель финансовой услуги должен будет уплатить за предоставление ему финансовой услуги, включая информацию о размере вознаграждения (порядке определения размера вознаграждения) Банка, как брокера, и порядке его уплаты.</w:t>
      </w:r>
    </w:p>
    <w:p w:rsidR="007F50A8" w:rsidRDefault="009A0F8E">
      <w:pPr>
        <w:pStyle w:val="Default"/>
        <w:spacing w:after="120"/>
        <w:ind w:firstLine="709"/>
        <w:contextualSpacing/>
        <w:mirrorIndents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A0F8E">
        <w:rPr>
          <w:rFonts w:ascii="Times New Roman" w:hAnsi="Times New Roman" w:cs="Times New Roman"/>
          <w:color w:val="auto"/>
          <w:sz w:val="22"/>
          <w:szCs w:val="22"/>
        </w:rPr>
        <w:t>15.2. В отношении паев паевых инвестиционных фондов:</w:t>
      </w:r>
    </w:p>
    <w:p w:rsidR="007F50A8" w:rsidRDefault="009A0F8E">
      <w:pPr>
        <w:pStyle w:val="Default"/>
        <w:spacing w:after="120"/>
        <w:ind w:firstLine="709"/>
        <w:contextualSpacing/>
        <w:mirrorIndents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A0F8E">
        <w:rPr>
          <w:rFonts w:ascii="Times New Roman" w:hAnsi="Times New Roman" w:cs="Times New Roman"/>
          <w:color w:val="auto"/>
          <w:sz w:val="22"/>
          <w:szCs w:val="22"/>
        </w:rPr>
        <w:t>15.2.1. Инвестиционная декларация паевого инвестиционного фонда.</w:t>
      </w:r>
    </w:p>
    <w:p w:rsidR="007F50A8" w:rsidRDefault="009A0F8E">
      <w:pPr>
        <w:pStyle w:val="Default"/>
        <w:spacing w:after="120"/>
        <w:ind w:firstLine="709"/>
        <w:contextualSpacing/>
        <w:mirrorIndents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A0F8E">
        <w:rPr>
          <w:rFonts w:ascii="Times New Roman" w:hAnsi="Times New Roman" w:cs="Times New Roman"/>
          <w:color w:val="auto"/>
          <w:sz w:val="22"/>
          <w:szCs w:val="22"/>
        </w:rPr>
        <w:t xml:space="preserve">15.2.2. Источник получения сведений об изменении расчетной стоимости инвестиционного пая за последние шесть месяцев (в случае предоставления такой информации управляющей компанией паевого инвестиционного фонда и (или) нахождения такой информации в свободном доступе). </w:t>
      </w:r>
    </w:p>
    <w:p w:rsidR="007F50A8" w:rsidRDefault="009A0F8E">
      <w:pPr>
        <w:pStyle w:val="Default"/>
        <w:spacing w:after="120"/>
        <w:ind w:firstLine="709"/>
        <w:contextualSpacing/>
        <w:mirrorIndents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A0F8E">
        <w:rPr>
          <w:rFonts w:ascii="Times New Roman" w:hAnsi="Times New Roman" w:cs="Times New Roman"/>
          <w:color w:val="auto"/>
          <w:sz w:val="22"/>
          <w:szCs w:val="22"/>
        </w:rPr>
        <w:t>15.2.3. Размер вознаграждения управляющей компании и общий размер вознаграждения специализированного депозитария, лица, осуществляющего ведение реестра владельцев инвестиционных паев, аудиторской организации, а также оценщика, если инвестиционная декларация паевого инвестиционного фонда предусматривает возможность инвестирования в имущество, оценка которого осуществляется оценщиком.</w:t>
      </w:r>
    </w:p>
    <w:p w:rsidR="007F50A8" w:rsidRDefault="009A0F8E">
      <w:pPr>
        <w:pStyle w:val="Default"/>
        <w:spacing w:after="120"/>
        <w:ind w:firstLine="709"/>
        <w:contextualSpacing/>
        <w:mirrorIndents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A0F8E">
        <w:rPr>
          <w:rFonts w:ascii="Times New Roman" w:hAnsi="Times New Roman" w:cs="Times New Roman"/>
          <w:color w:val="auto"/>
          <w:sz w:val="22"/>
          <w:szCs w:val="22"/>
        </w:rPr>
        <w:t>15.2.4. О порядке и сроках выплаты денежной компенсации в связи с погашением инвестиционных паев.</w:t>
      </w:r>
    </w:p>
    <w:p w:rsidR="007F50A8" w:rsidRDefault="009A0F8E">
      <w:pPr>
        <w:pStyle w:val="Default"/>
        <w:spacing w:after="120"/>
        <w:ind w:firstLine="709"/>
        <w:contextualSpacing/>
        <w:mirrorIndents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A0F8E">
        <w:rPr>
          <w:rFonts w:ascii="Times New Roman" w:hAnsi="Times New Roman" w:cs="Times New Roman"/>
          <w:color w:val="auto"/>
          <w:sz w:val="22"/>
          <w:szCs w:val="22"/>
        </w:rPr>
        <w:t xml:space="preserve">16. В соответствии с требованиями законодательства Российской Федерации настоящим </w:t>
      </w:r>
      <w:r w:rsidR="005347E2">
        <w:rPr>
          <w:rFonts w:ascii="Times New Roman" w:hAnsi="Times New Roman" w:cs="Times New Roman"/>
          <w:color w:val="auto"/>
          <w:sz w:val="22"/>
          <w:szCs w:val="22"/>
        </w:rPr>
        <w:t xml:space="preserve">            </w:t>
      </w:r>
      <w:r w:rsidRPr="009A0F8E">
        <w:rPr>
          <w:rFonts w:ascii="Times New Roman" w:hAnsi="Times New Roman" w:cs="Times New Roman"/>
          <w:color w:val="auto"/>
          <w:sz w:val="22"/>
          <w:szCs w:val="22"/>
        </w:rPr>
        <w:t>АО КБ «Солидарность» также уведомляет Клиента о следующем:</w:t>
      </w:r>
    </w:p>
    <w:p w:rsidR="007F50A8" w:rsidRDefault="009A0F8E">
      <w:pPr>
        <w:pStyle w:val="Default"/>
        <w:spacing w:after="120"/>
        <w:ind w:firstLine="709"/>
        <w:contextualSpacing/>
        <w:mirrorIndents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A0F8E">
        <w:rPr>
          <w:rFonts w:ascii="Times New Roman" w:hAnsi="Times New Roman" w:cs="Times New Roman"/>
          <w:color w:val="auto"/>
          <w:sz w:val="22"/>
          <w:szCs w:val="22"/>
        </w:rPr>
        <w:t>16.1. Денежные средства, передаваемые Клиентом в Банк для инвестирования в финансовые инструменты или полученные в рамках Договора, будут учитываться на счете (счетах), открытом (открытых) Банком в кредитных организациях для целей учета денежных средств клиентов, вместе с денежными средствами других Клиентов Банка.</w:t>
      </w:r>
    </w:p>
    <w:p w:rsidR="007F50A8" w:rsidRDefault="009A0F8E">
      <w:pPr>
        <w:pStyle w:val="Default"/>
        <w:spacing w:after="120"/>
        <w:ind w:firstLine="709"/>
        <w:contextualSpacing/>
        <w:mirrorIndents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A0F8E">
        <w:rPr>
          <w:rFonts w:ascii="Times New Roman" w:hAnsi="Times New Roman" w:cs="Times New Roman"/>
          <w:color w:val="auto"/>
          <w:sz w:val="22"/>
          <w:szCs w:val="22"/>
        </w:rPr>
        <w:lastRenderedPageBreak/>
        <w:t>16.2. В целях должного исполнения обязательств Банка, в связи с заключением Договора, Банк ведет внутренний учет денежных средств, ценных бумаг и операций с денежными средствами и ценными бумагами Клиента отдельно от денежных средств, ценных бумаг и операций с денежными средствами и ценными бумагами других клиентов и самого Банка. Ведение внутреннего учета Банком осуществляется в соответствии с требованиями Банка России.</w:t>
      </w:r>
    </w:p>
    <w:p w:rsidR="007F50A8" w:rsidRDefault="009A0F8E">
      <w:pPr>
        <w:pStyle w:val="Default"/>
        <w:spacing w:after="120"/>
        <w:ind w:firstLine="709"/>
        <w:contextualSpacing/>
        <w:mirrorIndents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A0F8E">
        <w:rPr>
          <w:rFonts w:ascii="Times New Roman" w:hAnsi="Times New Roman" w:cs="Times New Roman"/>
          <w:color w:val="auto"/>
          <w:sz w:val="22"/>
          <w:szCs w:val="22"/>
        </w:rPr>
        <w:t>16.3. Банк не использует ценные бумаги Клиентов в собственных интересах и не совершает сделок, приводящих к непокрытой позиции Клиента, в связи с чем соответствующие риски у Клиента отсутствуют.</w:t>
      </w:r>
    </w:p>
    <w:p w:rsidR="007F50A8" w:rsidRDefault="009A0F8E">
      <w:pPr>
        <w:pStyle w:val="Default"/>
        <w:spacing w:after="120"/>
        <w:ind w:firstLine="709"/>
        <w:contextualSpacing/>
        <w:mirrorIndents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A0F8E">
        <w:rPr>
          <w:rFonts w:ascii="Times New Roman" w:hAnsi="Times New Roman" w:cs="Times New Roman"/>
          <w:color w:val="auto"/>
          <w:sz w:val="22"/>
          <w:szCs w:val="22"/>
        </w:rPr>
        <w:t>17. Учитывая вышеизложенное, Банк рекомендует Вам внимательно рассмотреть вопрос о том, являются ли риски, возникающие при проведении операций на рынке ценных бумаг, приемлемыми для Вас с учетом Ваших инвестиционных целей и финансовых возможностей.</w:t>
      </w:r>
    </w:p>
    <w:p w:rsidR="007F50A8" w:rsidRDefault="009A0F8E">
      <w:pPr>
        <w:pStyle w:val="Default"/>
        <w:spacing w:after="120"/>
        <w:ind w:firstLine="709"/>
        <w:contextualSpacing/>
        <w:mirrorIndents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A0F8E">
        <w:rPr>
          <w:rFonts w:ascii="Times New Roman" w:hAnsi="Times New Roman" w:cs="Times New Roman"/>
          <w:color w:val="auto"/>
          <w:sz w:val="22"/>
          <w:szCs w:val="22"/>
        </w:rPr>
        <w:t>18. Данная Декларация (указанные в ней риски) не имеет своей целью заставить Вас отказаться от осуществления операций на рынке ценных бумаг, а призвана помочь Вам оценить риски и ответственно подойти к принятию решения при осуществлении операций на рынке ценных бумаг.</w:t>
      </w:r>
    </w:p>
    <w:p w:rsidR="007F50A8" w:rsidRDefault="009A0F8E">
      <w:pPr>
        <w:pStyle w:val="Default"/>
        <w:spacing w:after="120"/>
        <w:ind w:firstLine="709"/>
        <w:contextualSpacing/>
        <w:mirrorIndents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A0F8E">
        <w:rPr>
          <w:rFonts w:ascii="Times New Roman" w:hAnsi="Times New Roman" w:cs="Times New Roman"/>
          <w:color w:val="auto"/>
          <w:sz w:val="22"/>
          <w:szCs w:val="22"/>
        </w:rPr>
        <w:t>19. Убедитесь, что настоящая Декларация о рисках (указанные в ней риски), понятна Вам, и при необходимости, получите разъяснения у работника Банка, специализирующегося на соответствующем вопросе.</w:t>
      </w:r>
    </w:p>
    <w:p w:rsidR="007F50A8" w:rsidRDefault="007F50A8">
      <w:pPr>
        <w:spacing w:after="120"/>
        <w:ind w:firstLine="709"/>
        <w:contextualSpacing/>
        <w:mirrorIndents/>
      </w:pPr>
    </w:p>
    <w:p w:rsidR="007F50A8" w:rsidRDefault="009A0F8E">
      <w:pPr>
        <w:spacing w:after="120"/>
        <w:ind w:firstLine="709"/>
        <w:contextualSpacing/>
        <w:mirrorIndents/>
        <w:jc w:val="both"/>
        <w:rPr>
          <w:rFonts w:ascii="Times New Roman" w:hAnsi="Times New Roman"/>
          <w:color w:val="000000"/>
        </w:rPr>
      </w:pPr>
      <w:r w:rsidRPr="00D27D0C">
        <w:rPr>
          <w:rFonts w:ascii="Times New Roman" w:hAnsi="Times New Roman"/>
          <w:b/>
          <w:bCs/>
        </w:rPr>
        <w:t>«Деклараци</w:t>
      </w:r>
      <w:r>
        <w:rPr>
          <w:rFonts w:ascii="Times New Roman" w:hAnsi="Times New Roman"/>
          <w:b/>
          <w:bCs/>
        </w:rPr>
        <w:t>я</w:t>
      </w:r>
      <w:r w:rsidRPr="00D27D0C">
        <w:rPr>
          <w:rFonts w:ascii="Times New Roman" w:hAnsi="Times New Roman"/>
          <w:b/>
          <w:bCs/>
        </w:rPr>
        <w:t xml:space="preserve"> (уведомлени</w:t>
      </w:r>
      <w:r>
        <w:rPr>
          <w:rFonts w:ascii="Times New Roman" w:hAnsi="Times New Roman"/>
          <w:b/>
          <w:bCs/>
        </w:rPr>
        <w:t>е</w:t>
      </w:r>
      <w:r w:rsidRPr="00D27D0C">
        <w:rPr>
          <w:rFonts w:ascii="Times New Roman" w:hAnsi="Times New Roman"/>
          <w:b/>
          <w:bCs/>
        </w:rPr>
        <w:t>) обо всех вышеизложенных рисках мною прочитан</w:t>
      </w:r>
      <w:r>
        <w:rPr>
          <w:rFonts w:ascii="Times New Roman" w:hAnsi="Times New Roman"/>
          <w:b/>
          <w:bCs/>
        </w:rPr>
        <w:t>а</w:t>
      </w:r>
      <w:r w:rsidRPr="00D27D0C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>и понята</w:t>
      </w:r>
      <w:r w:rsidRPr="00D27D0C">
        <w:rPr>
          <w:rFonts w:ascii="Times New Roman" w:hAnsi="Times New Roman"/>
          <w:b/>
          <w:bCs/>
        </w:rPr>
        <w:t>.</w:t>
      </w:r>
      <w:r w:rsidR="00D17C1D">
        <w:rPr>
          <w:rFonts w:ascii="Times New Roman" w:hAnsi="Times New Roman"/>
          <w:b/>
          <w:bCs/>
        </w:rPr>
        <w:br/>
      </w:r>
      <w:r w:rsidRPr="00D27D0C">
        <w:rPr>
          <w:rFonts w:ascii="Times New Roman" w:hAnsi="Times New Roman"/>
          <w:b/>
          <w:bCs/>
        </w:rPr>
        <w:t>Я осознаю реальные риски при принятии инвестиционных решений».</w:t>
      </w:r>
      <w:r w:rsidRPr="00D27D0C">
        <w:rPr>
          <w:rFonts w:ascii="Times New Roman" w:hAnsi="Times New Roman"/>
        </w:rPr>
        <w:br/>
      </w:r>
      <w:r w:rsidRPr="00D27D0C">
        <w:rPr>
          <w:rFonts w:ascii="Times New Roman" w:hAnsi="Times New Roman"/>
          <w:color w:val="000000"/>
        </w:rPr>
        <w:t xml:space="preserve">                                                                                            </w:t>
      </w:r>
      <w:r>
        <w:rPr>
          <w:rFonts w:ascii="Times New Roman" w:hAnsi="Times New Roman"/>
          <w:color w:val="000000"/>
        </w:rPr>
        <w:t xml:space="preserve">                           </w:t>
      </w:r>
      <w:r w:rsidR="006B0566">
        <w:rPr>
          <w:rFonts w:ascii="Times New Roman" w:hAnsi="Times New Roman"/>
          <w:color w:val="000000"/>
        </w:rPr>
        <w:t xml:space="preserve">           </w:t>
      </w:r>
      <w:r w:rsidRPr="00D27D0C">
        <w:rPr>
          <w:rFonts w:ascii="Times New Roman" w:hAnsi="Times New Roman"/>
          <w:color w:val="000000"/>
        </w:rPr>
        <w:t>«______»______________20___</w:t>
      </w:r>
      <w:r w:rsidR="00F91F8B">
        <w:rPr>
          <w:rFonts w:ascii="Times New Roman" w:hAnsi="Times New Roman"/>
          <w:color w:val="000000"/>
        </w:rPr>
        <w:t>__</w:t>
      </w:r>
      <w:r w:rsidRPr="00D27D0C">
        <w:rPr>
          <w:rFonts w:ascii="Times New Roman" w:hAnsi="Times New Roman"/>
          <w:color w:val="000000"/>
        </w:rPr>
        <w:t>г.</w:t>
      </w:r>
    </w:p>
    <w:p w:rsidR="007F50A8" w:rsidRDefault="009A0F8E" w:rsidP="00552F55">
      <w:pPr>
        <w:spacing w:after="120"/>
        <w:contextualSpacing/>
        <w:mirrorIndents/>
        <w:rPr>
          <w:rFonts w:ascii="Times New Roman" w:hAnsi="Times New Roman"/>
          <w:color w:val="000000"/>
        </w:rPr>
      </w:pPr>
      <w:r w:rsidRPr="00D27D0C">
        <w:rPr>
          <w:rFonts w:ascii="Times New Roman" w:hAnsi="Times New Roman"/>
          <w:i/>
          <w:iCs/>
          <w:color w:val="000000"/>
        </w:rPr>
        <w:t>(дата ознакомления с декларацией)</w:t>
      </w:r>
      <w:r w:rsidRPr="00D27D0C">
        <w:rPr>
          <w:rFonts w:ascii="Times New Roman" w:hAnsi="Times New Roman"/>
          <w:i/>
          <w:iCs/>
          <w:color w:val="000000"/>
        </w:rPr>
        <w:br/>
      </w:r>
    </w:p>
    <w:p w:rsidR="007F50A8" w:rsidRDefault="009A0F8E">
      <w:pPr>
        <w:spacing w:after="120"/>
        <w:ind w:firstLine="709"/>
        <w:contextualSpacing/>
        <w:mirrorIndents/>
        <w:jc w:val="center"/>
        <w:rPr>
          <w:rFonts w:ascii="Times New Roman" w:hAnsi="Times New Roman"/>
          <w:b/>
        </w:rPr>
      </w:pPr>
      <w:r w:rsidRPr="00D27D0C">
        <w:rPr>
          <w:rFonts w:ascii="Times New Roman" w:hAnsi="Times New Roman"/>
          <w:b/>
        </w:rPr>
        <w:t xml:space="preserve">Клиент, </w:t>
      </w:r>
      <w:r w:rsidRPr="00D27D0C">
        <w:rPr>
          <w:rFonts w:ascii="Times New Roman" w:hAnsi="Times New Roman"/>
          <w:b/>
          <w:noProof/>
          <w:u w:val="single"/>
        </w:rPr>
        <w:t>_____________________________________________________________________________</w:t>
      </w:r>
    </w:p>
    <w:p w:rsidR="007F50A8" w:rsidRDefault="009A0F8E" w:rsidP="00154D7C">
      <w:pPr>
        <w:tabs>
          <w:tab w:val="left" w:pos="0"/>
          <w:tab w:val="left" w:pos="142"/>
        </w:tabs>
        <w:spacing w:after="120"/>
        <w:contextualSpacing/>
        <w:mirrorIndents/>
        <w:rPr>
          <w:rFonts w:ascii="Times New Roman" w:hAnsi="Times New Roman"/>
        </w:rPr>
      </w:pPr>
      <w:r w:rsidRPr="00D27D0C">
        <w:rPr>
          <w:rFonts w:ascii="Times New Roman" w:hAnsi="Times New Roman"/>
        </w:rPr>
        <w:t xml:space="preserve">(полное наименование </w:t>
      </w:r>
      <w:r w:rsidR="00EA2CC4">
        <w:rPr>
          <w:rFonts w:ascii="Times New Roman" w:hAnsi="Times New Roman"/>
        </w:rPr>
        <w:t>к</w:t>
      </w:r>
      <w:r w:rsidRPr="00D27D0C">
        <w:rPr>
          <w:rFonts w:ascii="Times New Roman" w:hAnsi="Times New Roman"/>
        </w:rPr>
        <w:t xml:space="preserve">лиента-юридического лица, ФИО (полностью) </w:t>
      </w:r>
      <w:r w:rsidR="00EA2CC4">
        <w:rPr>
          <w:rFonts w:ascii="Times New Roman" w:hAnsi="Times New Roman"/>
        </w:rPr>
        <w:t>к</w:t>
      </w:r>
      <w:r w:rsidRPr="00D27D0C">
        <w:rPr>
          <w:rFonts w:ascii="Times New Roman" w:hAnsi="Times New Roman"/>
        </w:rPr>
        <w:t xml:space="preserve">лиента-физического </w:t>
      </w:r>
      <w:r w:rsidR="00EA2CC4">
        <w:rPr>
          <w:rFonts w:ascii="Times New Roman" w:hAnsi="Times New Roman"/>
        </w:rPr>
        <w:t>л</w:t>
      </w:r>
      <w:r w:rsidRPr="00D27D0C">
        <w:rPr>
          <w:rFonts w:ascii="Times New Roman" w:hAnsi="Times New Roman"/>
        </w:rPr>
        <w:t>ица)</w:t>
      </w:r>
    </w:p>
    <w:p w:rsidR="007F50A8" w:rsidRDefault="009A0F8E" w:rsidP="00552F55">
      <w:pPr>
        <w:spacing w:after="120"/>
        <w:contextualSpacing/>
        <w:mirrorIndents/>
        <w:rPr>
          <w:rFonts w:ascii="Times New Roman" w:hAnsi="Times New Roman"/>
          <w:color w:val="000000"/>
        </w:rPr>
      </w:pPr>
      <w:r w:rsidRPr="00D27D0C">
        <w:rPr>
          <w:rFonts w:ascii="Times New Roman" w:hAnsi="Times New Roman"/>
          <w:color w:val="000000"/>
        </w:rPr>
        <w:t>_______________   _______________________________________</w:t>
      </w:r>
      <w:r>
        <w:rPr>
          <w:rFonts w:ascii="Times New Roman" w:hAnsi="Times New Roman"/>
          <w:color w:val="000000"/>
        </w:rPr>
        <w:t xml:space="preserve">_______         </w:t>
      </w:r>
      <w:r w:rsidRPr="00D27D0C">
        <w:rPr>
          <w:rFonts w:ascii="Times New Roman" w:hAnsi="Times New Roman"/>
          <w:color w:val="000000"/>
        </w:rPr>
        <w:t xml:space="preserve"> _______________</w:t>
      </w:r>
    </w:p>
    <w:p w:rsidR="007F50A8" w:rsidRDefault="006F6790" w:rsidP="00552F55">
      <w:pPr>
        <w:spacing w:after="120"/>
        <w:ind w:left="709"/>
        <w:contextualSpacing/>
        <w:mirrorIndents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(Должность)    </w:t>
      </w:r>
      <w:r w:rsidR="009A0F8E">
        <w:rPr>
          <w:rFonts w:ascii="Times New Roman" w:hAnsi="Times New Roman"/>
          <w:color w:val="000000"/>
        </w:rPr>
        <w:t xml:space="preserve"> </w:t>
      </w:r>
      <w:r w:rsidR="00552F55">
        <w:rPr>
          <w:rFonts w:ascii="Times New Roman" w:hAnsi="Times New Roman"/>
          <w:color w:val="000000"/>
        </w:rPr>
        <w:t xml:space="preserve">      </w:t>
      </w:r>
      <w:r w:rsidR="009A0F8E" w:rsidRPr="00D27D0C">
        <w:rPr>
          <w:rFonts w:ascii="Times New Roman" w:hAnsi="Times New Roman"/>
          <w:color w:val="000000"/>
        </w:rPr>
        <w:t xml:space="preserve">Ф.И.О. уполномоченного представителя организации    </w:t>
      </w:r>
      <w:r w:rsidR="009A0F8E">
        <w:rPr>
          <w:rFonts w:ascii="Times New Roman" w:hAnsi="Times New Roman"/>
          <w:color w:val="000000"/>
        </w:rPr>
        <w:t xml:space="preserve">    </w:t>
      </w:r>
      <w:r w:rsidR="009A0F8E" w:rsidRPr="00D27D0C">
        <w:rPr>
          <w:rFonts w:ascii="Times New Roman" w:hAnsi="Times New Roman"/>
          <w:color w:val="000000"/>
        </w:rPr>
        <w:t xml:space="preserve"> </w:t>
      </w:r>
      <w:r w:rsidR="00C7430F">
        <w:rPr>
          <w:rFonts w:ascii="Times New Roman" w:hAnsi="Times New Roman"/>
          <w:color w:val="000000"/>
        </w:rPr>
        <w:t xml:space="preserve">   </w:t>
      </w:r>
      <w:r w:rsidR="009A0F8E" w:rsidRPr="00D27D0C">
        <w:rPr>
          <w:rFonts w:ascii="Times New Roman" w:hAnsi="Times New Roman"/>
          <w:color w:val="000000"/>
        </w:rPr>
        <w:t>подпись</w:t>
      </w:r>
      <w:r w:rsidR="009A0F8E" w:rsidRPr="00D27D0C">
        <w:rPr>
          <w:rFonts w:ascii="Times New Roman" w:hAnsi="Times New Roman"/>
          <w:color w:val="000000"/>
        </w:rPr>
        <w:tab/>
        <w:t xml:space="preserve"> </w:t>
      </w:r>
      <w:r w:rsidR="00552F55">
        <w:rPr>
          <w:rFonts w:ascii="Times New Roman" w:hAnsi="Times New Roman"/>
          <w:color w:val="000000"/>
        </w:rPr>
        <w:t xml:space="preserve">         </w:t>
      </w:r>
      <w:r w:rsidR="009A0F8E" w:rsidRPr="00D27D0C">
        <w:rPr>
          <w:rFonts w:ascii="Times New Roman" w:hAnsi="Times New Roman"/>
          <w:color w:val="000000"/>
        </w:rPr>
        <w:t>(полностью)</w:t>
      </w:r>
    </w:p>
    <w:p w:rsidR="007F50A8" w:rsidRDefault="007F50A8">
      <w:pPr>
        <w:spacing w:after="120"/>
        <w:ind w:firstLine="709"/>
        <w:contextualSpacing/>
        <w:mirrorIndents/>
        <w:jc w:val="center"/>
        <w:rPr>
          <w:rFonts w:ascii="Times New Roman" w:hAnsi="Times New Roman"/>
        </w:rPr>
      </w:pPr>
    </w:p>
    <w:p w:rsidR="007F50A8" w:rsidRDefault="009A0F8E">
      <w:pPr>
        <w:spacing w:after="120"/>
        <w:ind w:firstLine="709"/>
        <w:contextualSpacing/>
        <w:mirrorIndents/>
        <w:jc w:val="center"/>
        <w:rPr>
          <w:rFonts w:ascii="Times New Roman" w:hAnsi="Times New Roman"/>
        </w:rPr>
      </w:pPr>
      <w:r w:rsidRPr="00D27D0C">
        <w:rPr>
          <w:rFonts w:ascii="Times New Roman" w:hAnsi="Times New Roman"/>
        </w:rPr>
        <w:t>М.П.</w:t>
      </w:r>
    </w:p>
    <w:p w:rsidR="007F50A8" w:rsidRDefault="007F50A8">
      <w:pPr>
        <w:spacing w:after="120"/>
        <w:ind w:firstLine="709"/>
        <w:contextualSpacing/>
        <w:mirrorIndents/>
      </w:pPr>
    </w:p>
    <w:p w:rsidR="007F50A8" w:rsidRDefault="007F50A8">
      <w:pPr>
        <w:pStyle w:val="11"/>
        <w:spacing w:after="120"/>
        <w:ind w:left="7090" w:firstLine="709"/>
        <w:contextualSpacing/>
        <w:mirrorIndents/>
        <w:jc w:val="both"/>
        <w:rPr>
          <w:sz w:val="22"/>
          <w:szCs w:val="22"/>
        </w:rPr>
      </w:pPr>
    </w:p>
    <w:sectPr w:rsidR="007F50A8" w:rsidSect="006E5C93">
      <w:headerReference w:type="default" r:id="rId8"/>
      <w:footerReference w:type="default" r:id="rId9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14D5" w:rsidRDefault="004114D5" w:rsidP="00753F76">
      <w:pPr>
        <w:spacing w:after="0" w:line="240" w:lineRule="auto"/>
      </w:pPr>
      <w:r>
        <w:separator/>
      </w:r>
    </w:p>
  </w:endnote>
  <w:endnote w:type="continuationSeparator" w:id="0">
    <w:p w:rsidR="004114D5" w:rsidRDefault="004114D5" w:rsidP="00753F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356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8789"/>
      <w:gridCol w:w="567"/>
    </w:tblGrid>
    <w:tr w:rsidR="00375036" w:rsidTr="0064672E">
      <w:trPr>
        <w:trHeight w:val="562"/>
      </w:trPr>
      <w:tc>
        <w:tcPr>
          <w:tcW w:w="8789" w:type="dxa"/>
          <w:shd w:val="clear" w:color="auto" w:fill="auto"/>
          <w:vAlign w:val="center"/>
        </w:tcPr>
        <w:p w:rsidR="00753F76" w:rsidRPr="00610CF8" w:rsidRDefault="00753F76" w:rsidP="00753F76">
          <w:pPr>
            <w:pStyle w:val="a7"/>
            <w:spacing w:before="60" w:after="60"/>
            <w:jc w:val="center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Изменения №1</w:t>
          </w:r>
          <w:r w:rsidR="00375036" w:rsidRPr="00D004D3">
            <w:rPr>
              <w:rFonts w:ascii="Times New Roman" w:hAnsi="Times New Roman"/>
            </w:rPr>
            <w:t xml:space="preserve"> в</w:t>
          </w:r>
          <w:r>
            <w:rPr>
              <w:rFonts w:ascii="Times New Roman" w:hAnsi="Times New Roman"/>
            </w:rPr>
            <w:t xml:space="preserve"> Регламент брокерского обслуживания клиентов АО КБ </w:t>
          </w:r>
          <w:r w:rsidR="00465AAD">
            <w:rPr>
              <w:rFonts w:ascii="Times New Roman" w:hAnsi="Times New Roman"/>
            </w:rPr>
            <w:t>«</w:t>
          </w:r>
          <w:r>
            <w:rPr>
              <w:rFonts w:ascii="Times New Roman" w:hAnsi="Times New Roman"/>
            </w:rPr>
            <w:t>Солидарность</w:t>
          </w:r>
          <w:r w:rsidR="00465AAD">
            <w:rPr>
              <w:rFonts w:ascii="Times New Roman" w:hAnsi="Times New Roman"/>
            </w:rPr>
            <w:t>»</w:t>
          </w:r>
          <w:r>
            <w:rPr>
              <w:rFonts w:ascii="Times New Roman" w:hAnsi="Times New Roman"/>
            </w:rPr>
            <w:t xml:space="preserve"> на рынке ценных бумаг </w:t>
          </w:r>
        </w:p>
      </w:tc>
      <w:tc>
        <w:tcPr>
          <w:tcW w:w="567" w:type="dxa"/>
          <w:shd w:val="clear" w:color="auto" w:fill="auto"/>
          <w:vAlign w:val="center"/>
        </w:tcPr>
        <w:p w:rsidR="00375036" w:rsidRPr="00610CF8" w:rsidRDefault="00041680" w:rsidP="0064672E">
          <w:pPr>
            <w:pStyle w:val="a7"/>
            <w:spacing w:before="60" w:after="60"/>
            <w:jc w:val="center"/>
            <w:rPr>
              <w:rFonts w:ascii="Times New Roman" w:hAnsi="Times New Roman"/>
            </w:rPr>
          </w:pPr>
          <w:r w:rsidRPr="00610CF8">
            <w:rPr>
              <w:rFonts w:ascii="Times New Roman" w:hAnsi="Times New Roman"/>
            </w:rPr>
            <w:fldChar w:fldCharType="begin"/>
          </w:r>
          <w:r w:rsidR="00375036" w:rsidRPr="00610CF8">
            <w:rPr>
              <w:rFonts w:ascii="Times New Roman" w:hAnsi="Times New Roman"/>
            </w:rPr>
            <w:instrText>PAGE   \* MERGEFORMAT</w:instrText>
          </w:r>
          <w:r w:rsidRPr="00610CF8">
            <w:rPr>
              <w:rFonts w:ascii="Times New Roman" w:hAnsi="Times New Roman"/>
            </w:rPr>
            <w:fldChar w:fldCharType="separate"/>
          </w:r>
          <w:r w:rsidR="002C081F">
            <w:rPr>
              <w:rFonts w:ascii="Times New Roman" w:hAnsi="Times New Roman"/>
              <w:noProof/>
            </w:rPr>
            <w:t>5</w:t>
          </w:r>
          <w:r w:rsidRPr="00610CF8">
            <w:rPr>
              <w:rFonts w:ascii="Times New Roman" w:hAnsi="Times New Roman"/>
            </w:rPr>
            <w:fldChar w:fldCharType="end"/>
          </w:r>
        </w:p>
      </w:tc>
    </w:tr>
  </w:tbl>
  <w:p w:rsidR="00375036" w:rsidRDefault="0037503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14D5" w:rsidRDefault="004114D5" w:rsidP="00753F76">
      <w:pPr>
        <w:spacing w:after="0" w:line="240" w:lineRule="auto"/>
      </w:pPr>
      <w:r>
        <w:separator/>
      </w:r>
    </w:p>
  </w:footnote>
  <w:footnote w:type="continuationSeparator" w:id="0">
    <w:p w:rsidR="004114D5" w:rsidRDefault="004114D5" w:rsidP="00753F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036" w:rsidRDefault="00375036" w:rsidP="0064672E">
    <w:pPr>
      <w:pStyle w:val="a5"/>
      <w:tabs>
        <w:tab w:val="clear" w:pos="4677"/>
        <w:tab w:val="clear" w:pos="9355"/>
        <w:tab w:val="left" w:pos="4125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E3F06"/>
    <w:multiLevelType w:val="hybridMultilevel"/>
    <w:tmpl w:val="BEC0577C"/>
    <w:lvl w:ilvl="0" w:tplc="BC34B20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27A175D7"/>
    <w:multiLevelType w:val="multilevel"/>
    <w:tmpl w:val="89F4E9A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748A1CA5"/>
    <w:multiLevelType w:val="multilevel"/>
    <w:tmpl w:val="B02E883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069" w:hanging="540"/>
      </w:pPr>
      <w:rPr>
        <w:rFonts w:hint="default"/>
        <w:b/>
      </w:rPr>
    </w:lvl>
    <w:lvl w:ilvl="2">
      <w:start w:val="1"/>
      <w:numFmt w:val="bullet"/>
      <w:lvlText w:val=""/>
      <w:lvlJc w:val="left"/>
      <w:pPr>
        <w:ind w:left="1778" w:hanging="720"/>
      </w:pPr>
      <w:rPr>
        <w:rFonts w:ascii="Symbol" w:hAnsi="Symbol" w:hint="default"/>
        <w:b w:val="0"/>
      </w:rPr>
    </w:lvl>
    <w:lvl w:ilvl="3">
      <w:start w:val="1"/>
      <w:numFmt w:val="decimal"/>
      <w:lvlText w:val="%1.%2.%3.%4."/>
      <w:lvlJc w:val="left"/>
      <w:pPr>
        <w:ind w:left="2307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1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72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61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14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032" w:hanging="1800"/>
      </w:pPr>
      <w:rPr>
        <w:rFonts w:hint="default"/>
        <w:b/>
      </w:rPr>
    </w:lvl>
  </w:abstractNum>
  <w:abstractNum w:abstractNumId="3">
    <w:nsid w:val="75C0219D"/>
    <w:multiLevelType w:val="hybridMultilevel"/>
    <w:tmpl w:val="470C0AFE"/>
    <w:lvl w:ilvl="0" w:tplc="03C02AE8">
      <w:start w:val="1"/>
      <w:numFmt w:val="bullet"/>
      <w:lvlText w:val="̶"/>
      <w:lvlJc w:val="left"/>
      <w:pPr>
        <w:ind w:left="1434" w:hanging="360"/>
      </w:pPr>
      <w:rPr>
        <w:rFonts w:ascii="Times New Roman" w:hAnsi="Times New Roman" w:cs="Times New Roman" w:hint="default"/>
      </w:rPr>
    </w:lvl>
    <w:lvl w:ilvl="1" w:tplc="03C02AE8">
      <w:start w:val="1"/>
      <w:numFmt w:val="bullet"/>
      <w:lvlText w:val="̶"/>
      <w:lvlJc w:val="left"/>
      <w:pPr>
        <w:ind w:left="2154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4">
    <w:nsid w:val="78372135"/>
    <w:multiLevelType w:val="multilevel"/>
    <w:tmpl w:val="023640E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0858"/>
    <w:rsid w:val="000118FB"/>
    <w:rsid w:val="00017DC2"/>
    <w:rsid w:val="00041680"/>
    <w:rsid w:val="00041732"/>
    <w:rsid w:val="000702FF"/>
    <w:rsid w:val="00085ACC"/>
    <w:rsid w:val="00092F83"/>
    <w:rsid w:val="000B0818"/>
    <w:rsid w:val="000D6440"/>
    <w:rsid w:val="000E49F0"/>
    <w:rsid w:val="000E5EB6"/>
    <w:rsid w:val="00111DC4"/>
    <w:rsid w:val="00154D7C"/>
    <w:rsid w:val="0017252E"/>
    <w:rsid w:val="00196117"/>
    <w:rsid w:val="001A369E"/>
    <w:rsid w:val="001D2FFE"/>
    <w:rsid w:val="002019C5"/>
    <w:rsid w:val="00226E7B"/>
    <w:rsid w:val="00233E7B"/>
    <w:rsid w:val="002349D4"/>
    <w:rsid w:val="0028326D"/>
    <w:rsid w:val="00291F2E"/>
    <w:rsid w:val="002A105C"/>
    <w:rsid w:val="002C081F"/>
    <w:rsid w:val="002D1D43"/>
    <w:rsid w:val="002E5650"/>
    <w:rsid w:val="00333993"/>
    <w:rsid w:val="0036767D"/>
    <w:rsid w:val="00375036"/>
    <w:rsid w:val="003E75E8"/>
    <w:rsid w:val="00402E9A"/>
    <w:rsid w:val="004114D5"/>
    <w:rsid w:val="004465D7"/>
    <w:rsid w:val="00460E47"/>
    <w:rsid w:val="00465AAD"/>
    <w:rsid w:val="0046751F"/>
    <w:rsid w:val="00473D92"/>
    <w:rsid w:val="004C6915"/>
    <w:rsid w:val="00502915"/>
    <w:rsid w:val="00505EA5"/>
    <w:rsid w:val="00511CBD"/>
    <w:rsid w:val="005347E2"/>
    <w:rsid w:val="00552F55"/>
    <w:rsid w:val="005628A4"/>
    <w:rsid w:val="005645D0"/>
    <w:rsid w:val="0058534D"/>
    <w:rsid w:val="005B3683"/>
    <w:rsid w:val="005E1A87"/>
    <w:rsid w:val="005E6D80"/>
    <w:rsid w:val="00614A92"/>
    <w:rsid w:val="006341B1"/>
    <w:rsid w:val="006369C9"/>
    <w:rsid w:val="00643217"/>
    <w:rsid w:val="0064672E"/>
    <w:rsid w:val="00681A92"/>
    <w:rsid w:val="006A1CCA"/>
    <w:rsid w:val="006A7BCB"/>
    <w:rsid w:val="006B0566"/>
    <w:rsid w:val="006E5C93"/>
    <w:rsid w:val="006F6790"/>
    <w:rsid w:val="00710D3E"/>
    <w:rsid w:val="00753F76"/>
    <w:rsid w:val="00766355"/>
    <w:rsid w:val="00767B77"/>
    <w:rsid w:val="007852CD"/>
    <w:rsid w:val="007921FB"/>
    <w:rsid w:val="0079783A"/>
    <w:rsid w:val="007A7FE9"/>
    <w:rsid w:val="007B28EF"/>
    <w:rsid w:val="007B517D"/>
    <w:rsid w:val="007C5C57"/>
    <w:rsid w:val="007C6806"/>
    <w:rsid w:val="007D5B00"/>
    <w:rsid w:val="007E393C"/>
    <w:rsid w:val="007F50A8"/>
    <w:rsid w:val="008400FF"/>
    <w:rsid w:val="008473E5"/>
    <w:rsid w:val="008654A0"/>
    <w:rsid w:val="00877699"/>
    <w:rsid w:val="008C09D2"/>
    <w:rsid w:val="008D4240"/>
    <w:rsid w:val="008F2186"/>
    <w:rsid w:val="00916C85"/>
    <w:rsid w:val="00941018"/>
    <w:rsid w:val="009529BD"/>
    <w:rsid w:val="00954C47"/>
    <w:rsid w:val="00962680"/>
    <w:rsid w:val="009A0F8E"/>
    <w:rsid w:val="009F1ACE"/>
    <w:rsid w:val="00A01079"/>
    <w:rsid w:val="00A1073C"/>
    <w:rsid w:val="00A20858"/>
    <w:rsid w:val="00A50982"/>
    <w:rsid w:val="00B70969"/>
    <w:rsid w:val="00B72118"/>
    <w:rsid w:val="00B84CC0"/>
    <w:rsid w:val="00BA6995"/>
    <w:rsid w:val="00BB1BE1"/>
    <w:rsid w:val="00BB69C8"/>
    <w:rsid w:val="00BC00EF"/>
    <w:rsid w:val="00BC567B"/>
    <w:rsid w:val="00C11498"/>
    <w:rsid w:val="00C341EA"/>
    <w:rsid w:val="00C357C2"/>
    <w:rsid w:val="00C7430F"/>
    <w:rsid w:val="00C754B8"/>
    <w:rsid w:val="00CA27C8"/>
    <w:rsid w:val="00CD3FA7"/>
    <w:rsid w:val="00D17C1D"/>
    <w:rsid w:val="00D27D0C"/>
    <w:rsid w:val="00D56DD4"/>
    <w:rsid w:val="00D62F5C"/>
    <w:rsid w:val="00DF5070"/>
    <w:rsid w:val="00E11597"/>
    <w:rsid w:val="00E376C1"/>
    <w:rsid w:val="00E5018B"/>
    <w:rsid w:val="00E62EA9"/>
    <w:rsid w:val="00E70F6E"/>
    <w:rsid w:val="00E97023"/>
    <w:rsid w:val="00EA2CC4"/>
    <w:rsid w:val="00ED061D"/>
    <w:rsid w:val="00EF613C"/>
    <w:rsid w:val="00F00FCE"/>
    <w:rsid w:val="00F4445E"/>
    <w:rsid w:val="00F857F9"/>
    <w:rsid w:val="00F91E1D"/>
    <w:rsid w:val="00F91F8B"/>
    <w:rsid w:val="00FB34DB"/>
    <w:rsid w:val="00FC7BF5"/>
    <w:rsid w:val="00FD226C"/>
    <w:rsid w:val="00FD48C7"/>
    <w:rsid w:val="00FD64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85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27D0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A20858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20858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A20858"/>
    <w:pPr>
      <w:ind w:left="720"/>
      <w:contextualSpacing/>
    </w:pPr>
  </w:style>
  <w:style w:type="character" w:styleId="a4">
    <w:name w:val="Hyperlink"/>
    <w:uiPriority w:val="99"/>
    <w:unhideWhenUsed/>
    <w:rsid w:val="00A20858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A208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2085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A208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20858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A208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20858"/>
    <w:rPr>
      <w:rFonts w:ascii="Tahoma" w:eastAsia="Calibri" w:hAnsi="Tahoma" w:cs="Tahoma"/>
      <w:sz w:val="16"/>
      <w:szCs w:val="16"/>
    </w:rPr>
  </w:style>
  <w:style w:type="paragraph" w:customStyle="1" w:styleId="iiaienueiauaeoo">
    <w:name w:val="iiaienu e iauaeoo"/>
    <w:rsid w:val="00BB69C8"/>
    <w:pPr>
      <w:spacing w:after="0" w:line="240" w:lineRule="auto"/>
      <w:ind w:left="426"/>
      <w:jc w:val="center"/>
    </w:pPr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27D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1">
    <w:name w:val="Обычный1"/>
    <w:rsid w:val="00D27D0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b">
    <w:name w:val="Body Text"/>
    <w:basedOn w:val="a"/>
    <w:link w:val="ac"/>
    <w:rsid w:val="00D27D0C"/>
    <w:pPr>
      <w:spacing w:after="0" w:line="240" w:lineRule="auto"/>
    </w:pPr>
    <w:rPr>
      <w:rFonts w:ascii="Tahoma" w:eastAsia="Times New Roman" w:hAnsi="Tahoma"/>
      <w:color w:val="000000"/>
      <w:sz w:val="20"/>
      <w:szCs w:val="20"/>
    </w:rPr>
  </w:style>
  <w:style w:type="character" w:customStyle="1" w:styleId="ac">
    <w:name w:val="Основной текст Знак"/>
    <w:basedOn w:val="a0"/>
    <w:link w:val="ab"/>
    <w:rsid w:val="00D27D0C"/>
    <w:rPr>
      <w:rFonts w:ascii="Tahoma" w:eastAsia="Times New Roman" w:hAnsi="Tahoma" w:cs="Times New Roman"/>
      <w:color w:val="000000"/>
      <w:sz w:val="20"/>
      <w:szCs w:val="20"/>
    </w:rPr>
  </w:style>
  <w:style w:type="paragraph" w:styleId="2">
    <w:name w:val="Body Text Indent 2"/>
    <w:basedOn w:val="a"/>
    <w:link w:val="20"/>
    <w:rsid w:val="00D27D0C"/>
    <w:pPr>
      <w:spacing w:after="0" w:line="240" w:lineRule="auto"/>
      <w:ind w:firstLine="567"/>
      <w:jc w:val="both"/>
    </w:pPr>
    <w:rPr>
      <w:rFonts w:ascii="Times New Roman" w:eastAsia="Times New Roman" w:hAnsi="Times New Roman"/>
      <w:snapToGrid w:val="0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D27D0C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Default">
    <w:name w:val="Default"/>
    <w:rsid w:val="00D27D0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21">
    <w:name w:val="Обычный2"/>
    <w:rsid w:val="00916C85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d">
    <w:name w:val="Revision"/>
    <w:hidden/>
    <w:uiPriority w:val="99"/>
    <w:semiHidden/>
    <w:rsid w:val="0004173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457333-6F9B-4FEC-B820-1A3D6A34F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2560</Words>
  <Characters>14592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BykovskayaSV</dc:creator>
  <cp:lastModifiedBy>BykovskayaSV</cp:lastModifiedBy>
  <cp:revision>3</cp:revision>
  <dcterms:created xsi:type="dcterms:W3CDTF">2024-08-08T13:55:00Z</dcterms:created>
  <dcterms:modified xsi:type="dcterms:W3CDTF">2024-08-08T13:59:00Z</dcterms:modified>
</cp:coreProperties>
</file>