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E8" w:rsidRPr="00493D8B" w:rsidRDefault="00F003E8" w:rsidP="00F003E8">
      <w:pPr>
        <w:spacing w:after="0" w:line="240" w:lineRule="auto"/>
        <w:contextualSpacing/>
        <w:jc w:val="right"/>
        <w:rPr>
          <w:rFonts w:ascii="Times New Roman" w:hAnsi="Times New Roman"/>
          <w:sz w:val="20"/>
          <w:szCs w:val="20"/>
        </w:rPr>
      </w:pPr>
      <w:bookmarkStart w:id="0" w:name="_GoBack"/>
      <w:bookmarkEnd w:id="0"/>
      <w:r w:rsidRPr="00493D8B">
        <w:rPr>
          <w:rFonts w:ascii="Times New Roman" w:hAnsi="Times New Roman"/>
          <w:sz w:val="20"/>
          <w:szCs w:val="20"/>
        </w:rPr>
        <w:t>Приложение №</w:t>
      </w:r>
      <w:r>
        <w:rPr>
          <w:rFonts w:ascii="Times New Roman" w:hAnsi="Times New Roman"/>
          <w:sz w:val="20"/>
          <w:szCs w:val="20"/>
        </w:rPr>
        <w:t>4</w:t>
      </w:r>
      <w:r w:rsidRPr="00493D8B">
        <w:rPr>
          <w:rFonts w:ascii="Times New Roman" w:hAnsi="Times New Roman"/>
          <w:sz w:val="20"/>
          <w:szCs w:val="20"/>
        </w:rPr>
        <w:t xml:space="preserve"> к </w:t>
      </w:r>
      <w:r>
        <w:rPr>
          <w:rFonts w:ascii="Times New Roman" w:hAnsi="Times New Roman"/>
          <w:sz w:val="20"/>
          <w:szCs w:val="20"/>
        </w:rPr>
        <w:t>Протоколу ФБК</w:t>
      </w:r>
      <w:r w:rsidRPr="00493D8B">
        <w:rPr>
          <w:rFonts w:ascii="Times New Roman" w:hAnsi="Times New Roman"/>
          <w:sz w:val="20"/>
          <w:szCs w:val="20"/>
        </w:rPr>
        <w:t xml:space="preserve"> №</w:t>
      </w:r>
      <w:r>
        <w:rPr>
          <w:rFonts w:ascii="Times New Roman" w:hAnsi="Times New Roman"/>
          <w:sz w:val="20"/>
          <w:szCs w:val="20"/>
        </w:rPr>
        <w:t>384</w:t>
      </w:r>
      <w:r w:rsidRPr="00493D8B">
        <w:rPr>
          <w:rFonts w:ascii="Times New Roman" w:hAnsi="Times New Roman"/>
          <w:sz w:val="20"/>
          <w:szCs w:val="20"/>
        </w:rPr>
        <w:t xml:space="preserve"> от </w:t>
      </w:r>
      <w:r>
        <w:rPr>
          <w:rFonts w:ascii="Times New Roman" w:hAnsi="Times New Roman"/>
          <w:sz w:val="20"/>
          <w:szCs w:val="20"/>
        </w:rPr>
        <w:t>02</w:t>
      </w:r>
      <w:r w:rsidRPr="00493D8B">
        <w:rPr>
          <w:rFonts w:ascii="Times New Roman" w:hAnsi="Times New Roman"/>
          <w:sz w:val="20"/>
          <w:szCs w:val="20"/>
        </w:rPr>
        <w:t xml:space="preserve"> </w:t>
      </w:r>
      <w:r>
        <w:rPr>
          <w:rFonts w:ascii="Times New Roman" w:hAnsi="Times New Roman"/>
          <w:sz w:val="20"/>
          <w:szCs w:val="20"/>
        </w:rPr>
        <w:t>марта</w:t>
      </w:r>
      <w:r w:rsidRPr="00493D8B">
        <w:rPr>
          <w:rFonts w:ascii="Times New Roman" w:hAnsi="Times New Roman"/>
          <w:sz w:val="20"/>
          <w:szCs w:val="20"/>
        </w:rPr>
        <w:t xml:space="preserve"> 202</w:t>
      </w:r>
      <w:r>
        <w:rPr>
          <w:rFonts w:ascii="Times New Roman" w:hAnsi="Times New Roman"/>
          <w:sz w:val="20"/>
          <w:szCs w:val="20"/>
        </w:rPr>
        <w:t>2</w:t>
      </w:r>
      <w:r w:rsidRPr="00493D8B">
        <w:rPr>
          <w:rFonts w:ascii="Times New Roman" w:hAnsi="Times New Roman"/>
          <w:sz w:val="20"/>
          <w:szCs w:val="20"/>
        </w:rPr>
        <w:t xml:space="preserve"> г.</w:t>
      </w:r>
    </w:p>
    <w:p w:rsidR="00F003E8" w:rsidRPr="00493D8B" w:rsidRDefault="00F003E8" w:rsidP="00F003E8">
      <w:pPr>
        <w:spacing w:after="0" w:line="240" w:lineRule="auto"/>
        <w:contextualSpacing/>
        <w:jc w:val="right"/>
        <w:rPr>
          <w:rFonts w:ascii="Times New Roman" w:hAnsi="Times New Roman"/>
          <w:sz w:val="20"/>
          <w:szCs w:val="20"/>
        </w:rPr>
      </w:pPr>
    </w:p>
    <w:p w:rsidR="00F003E8" w:rsidRPr="00493D8B" w:rsidRDefault="00F003E8" w:rsidP="00F003E8">
      <w:pPr>
        <w:autoSpaceDE w:val="0"/>
        <w:autoSpaceDN w:val="0"/>
        <w:adjustRightInd w:val="0"/>
        <w:spacing w:after="0" w:line="240" w:lineRule="auto"/>
        <w:ind w:firstLine="2835"/>
        <w:contextualSpacing/>
        <w:rPr>
          <w:rFonts w:ascii="Times New Roman" w:hAnsi="Times New Roman"/>
          <w:b/>
          <w:color w:val="FF0000"/>
          <w:sz w:val="24"/>
          <w:szCs w:val="24"/>
        </w:rPr>
      </w:pPr>
      <w:r w:rsidRPr="00493D8B">
        <w:rPr>
          <w:rFonts w:ascii="Times New Roman" w:hAnsi="Times New Roman"/>
          <w:b/>
          <w:color w:val="FF0000"/>
          <w:sz w:val="24"/>
          <w:szCs w:val="24"/>
        </w:rPr>
        <w:t>Срочный вклад «</w:t>
      </w:r>
      <w:r>
        <w:rPr>
          <w:rFonts w:ascii="Times New Roman" w:hAnsi="Times New Roman"/>
          <w:b/>
          <w:color w:val="FF0000"/>
          <w:sz w:val="24"/>
          <w:szCs w:val="24"/>
        </w:rPr>
        <w:t>СОЛИДАРНОСТЬ</w:t>
      </w:r>
      <w:r w:rsidRPr="00493D8B">
        <w:rPr>
          <w:rFonts w:ascii="Times New Roman" w:hAnsi="Times New Roman"/>
          <w:b/>
          <w:color w:val="FF0000"/>
          <w:sz w:val="24"/>
          <w:szCs w:val="24"/>
        </w:rPr>
        <w:t>»</w:t>
      </w:r>
    </w:p>
    <w:p w:rsidR="00F003E8" w:rsidRDefault="00F003E8" w:rsidP="00F003E8">
      <w:pPr>
        <w:autoSpaceDE w:val="0"/>
        <w:autoSpaceDN w:val="0"/>
        <w:adjustRightInd w:val="0"/>
        <w:spacing w:after="0" w:line="240" w:lineRule="auto"/>
        <w:ind w:left="2835" w:hanging="1559"/>
        <w:contextualSpacing/>
        <w:rPr>
          <w:rFonts w:ascii="Times New Roman" w:hAnsi="Times New Roman"/>
          <w:i/>
          <w:sz w:val="18"/>
          <w:szCs w:val="18"/>
        </w:rPr>
      </w:pPr>
      <w:r w:rsidRPr="007640FC">
        <w:rPr>
          <w:rFonts w:ascii="Times New Roman" w:hAnsi="Times New Roman"/>
          <w:b/>
          <w:noProof/>
          <w:sz w:val="24"/>
          <w:szCs w:val="24"/>
        </w:rPr>
        <w:drawing>
          <wp:anchor distT="0" distB="0" distL="114300" distR="114300" simplePos="0" relativeHeight="251659264" behindDoc="0" locked="0" layoutInCell="1" allowOverlap="1" wp14:anchorId="7B52D909" wp14:editId="345D161F">
            <wp:simplePos x="0" y="0"/>
            <wp:positionH relativeFrom="margin">
              <wp:posOffset>-412522</wp:posOffset>
            </wp:positionH>
            <wp:positionV relativeFrom="margin">
              <wp:posOffset>933521</wp:posOffset>
            </wp:positionV>
            <wp:extent cx="1762125" cy="250190"/>
            <wp:effectExtent l="0" t="0" r="9525" b="0"/>
            <wp:wrapThrough wrapText="bothSides">
              <wp:wrapPolygon edited="0">
                <wp:start x="234" y="0"/>
                <wp:lineTo x="0" y="1645"/>
                <wp:lineTo x="0" y="16447"/>
                <wp:lineTo x="234" y="19736"/>
                <wp:lineTo x="21483" y="19736"/>
                <wp:lineTo x="21483" y="0"/>
                <wp:lineTo x="234"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50190"/>
                    </a:xfrm>
                    <a:prstGeom prst="rect">
                      <a:avLst/>
                    </a:prstGeom>
                    <a:noFill/>
                  </pic:spPr>
                </pic:pic>
              </a:graphicData>
            </a:graphic>
            <wp14:sizeRelH relativeFrom="page">
              <wp14:pctWidth>0</wp14:pctWidth>
            </wp14:sizeRelH>
            <wp14:sizeRelV relativeFrom="page">
              <wp14:pctHeight>0</wp14:pctHeight>
            </wp14:sizeRelV>
          </wp:anchor>
        </w:drawing>
      </w:r>
    </w:p>
    <w:p w:rsidR="00F003E8" w:rsidRPr="00D208C3" w:rsidRDefault="00F003E8" w:rsidP="00F003E8">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В документе представлено краткое изложение ключевой информации, которая относится к стандартным условиям данного продукта.</w:t>
      </w:r>
    </w:p>
    <w:p w:rsidR="00F003E8" w:rsidRPr="003E5000" w:rsidRDefault="00F003E8" w:rsidP="00F003E8">
      <w:pPr>
        <w:autoSpaceDE w:val="0"/>
        <w:autoSpaceDN w:val="0"/>
        <w:adjustRightInd w:val="0"/>
        <w:spacing w:after="120" w:line="240" w:lineRule="auto"/>
        <w:ind w:left="2835"/>
        <w:jc w:val="both"/>
        <w:rPr>
          <w:rFonts w:ascii="Times New Roman" w:hAnsi="Times New Roman"/>
          <w:i/>
          <w:sz w:val="18"/>
          <w:szCs w:val="18"/>
        </w:rPr>
      </w:pPr>
      <w:r w:rsidRPr="00D208C3">
        <w:rPr>
          <w:rFonts w:ascii="Times New Roman" w:hAnsi="Times New Roman"/>
          <w:i/>
          <w:sz w:val="18"/>
          <w:szCs w:val="18"/>
        </w:rPr>
        <w:t>Информация, указанная в документе, не является рекламой и носит исключительно справочный характер.</w:t>
      </w: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46"/>
        <w:gridCol w:w="3104"/>
        <w:gridCol w:w="3105"/>
      </w:tblGrid>
      <w:tr w:rsidR="00F003E8" w:rsidRPr="00D208C3" w:rsidTr="00FA2071">
        <w:tc>
          <w:tcPr>
            <w:tcW w:w="2518" w:type="dxa"/>
            <w:vAlign w:val="center"/>
          </w:tcPr>
          <w:p w:rsidR="00F003E8" w:rsidRPr="00D208C3" w:rsidRDefault="00F003E8" w:rsidP="00FA2071">
            <w:pPr>
              <w:spacing w:after="0"/>
              <w:contextualSpacing/>
              <w:rPr>
                <w:rFonts w:ascii="Times New Roman" w:hAnsi="Times New Roman"/>
                <w:b/>
                <w:bCs/>
                <w:sz w:val="16"/>
                <w:szCs w:val="16"/>
              </w:rPr>
            </w:pPr>
            <w:r w:rsidRPr="00D208C3">
              <w:rPr>
                <w:rFonts w:ascii="Times New Roman" w:hAnsi="Times New Roman"/>
                <w:b/>
                <w:bCs/>
                <w:sz w:val="16"/>
                <w:szCs w:val="16"/>
              </w:rPr>
              <w:t>Кредитная организация</w:t>
            </w:r>
            <w:r>
              <w:rPr>
                <w:rFonts w:ascii="Times New Roman" w:hAnsi="Times New Roman"/>
                <w:b/>
                <w:bCs/>
                <w:sz w:val="16"/>
                <w:szCs w:val="16"/>
              </w:rPr>
              <w:t xml:space="preserve"> (Банк)</w:t>
            </w:r>
          </w:p>
        </w:tc>
        <w:tc>
          <w:tcPr>
            <w:tcW w:w="7655" w:type="dxa"/>
            <w:gridSpan w:val="3"/>
          </w:tcPr>
          <w:p w:rsidR="00F003E8" w:rsidRPr="00D208C3" w:rsidRDefault="00F003E8" w:rsidP="00FA2071">
            <w:pPr>
              <w:spacing w:after="0"/>
              <w:contextualSpacing/>
              <w:jc w:val="both"/>
              <w:rPr>
                <w:rFonts w:ascii="Times New Roman" w:hAnsi="Times New Roman"/>
                <w:sz w:val="16"/>
                <w:szCs w:val="16"/>
                <w:u w:val="single"/>
              </w:rPr>
            </w:pPr>
            <w:r w:rsidRPr="00640616">
              <w:rPr>
                <w:rFonts w:ascii="Times New Roman" w:hAnsi="Times New Roman"/>
                <w:sz w:val="16"/>
                <w:szCs w:val="16"/>
              </w:rPr>
              <w:t>АО КБ «Солидарность»</w:t>
            </w:r>
            <w:r w:rsidRPr="00D208C3">
              <w:rPr>
                <w:rFonts w:ascii="Times New Roman" w:hAnsi="Times New Roman"/>
                <w:sz w:val="16"/>
                <w:szCs w:val="16"/>
              </w:rPr>
              <w:t xml:space="preserve"> (ИНН: 6316028910</w:t>
            </w:r>
            <w:r w:rsidRPr="00016217">
              <w:rPr>
                <w:rFonts w:ascii="Times New Roman" w:hAnsi="Times New Roman"/>
                <w:sz w:val="16"/>
                <w:szCs w:val="16"/>
              </w:rPr>
              <w:t>; ОГРН: 1026300001848)</w:t>
            </w:r>
          </w:p>
        </w:tc>
      </w:tr>
      <w:tr w:rsidR="00F003E8" w:rsidRPr="00D208C3" w:rsidTr="00FA2071">
        <w:tc>
          <w:tcPr>
            <w:tcW w:w="2518" w:type="dxa"/>
            <w:vAlign w:val="center"/>
          </w:tcPr>
          <w:p w:rsidR="00F003E8" w:rsidRPr="00D208C3" w:rsidRDefault="00F003E8" w:rsidP="00FA2071">
            <w:pPr>
              <w:spacing w:after="0"/>
              <w:contextualSpacing/>
              <w:rPr>
                <w:rFonts w:ascii="Times New Roman" w:hAnsi="Times New Roman"/>
                <w:b/>
                <w:bCs/>
                <w:sz w:val="16"/>
                <w:szCs w:val="16"/>
              </w:rPr>
            </w:pPr>
            <w:r w:rsidRPr="00D208C3">
              <w:rPr>
                <w:rFonts w:ascii="Times New Roman" w:hAnsi="Times New Roman"/>
                <w:b/>
                <w:bCs/>
                <w:sz w:val="16"/>
                <w:szCs w:val="16"/>
              </w:rPr>
              <w:t>Контактная информация</w:t>
            </w:r>
          </w:p>
        </w:tc>
        <w:tc>
          <w:tcPr>
            <w:tcW w:w="7655" w:type="dxa"/>
            <w:gridSpan w:val="3"/>
          </w:tcPr>
          <w:p w:rsidR="00F003E8" w:rsidRPr="00D208C3" w:rsidRDefault="00F003E8" w:rsidP="00FA2071">
            <w:pPr>
              <w:spacing w:after="0"/>
              <w:contextualSpacing/>
              <w:jc w:val="both"/>
              <w:rPr>
                <w:rFonts w:ascii="Times New Roman" w:hAnsi="Times New Roman"/>
                <w:sz w:val="16"/>
                <w:szCs w:val="16"/>
              </w:rPr>
            </w:pPr>
            <w:r w:rsidRPr="00D208C3">
              <w:rPr>
                <w:rFonts w:ascii="Times New Roman" w:hAnsi="Times New Roman"/>
                <w:sz w:val="16"/>
                <w:szCs w:val="16"/>
              </w:rPr>
              <w:t xml:space="preserve">адрес регистрации: 443099, г. Самара, ул. Куйбышева, </w:t>
            </w:r>
            <w:r>
              <w:rPr>
                <w:rFonts w:ascii="Times New Roman" w:hAnsi="Times New Roman"/>
                <w:sz w:val="16"/>
                <w:szCs w:val="16"/>
              </w:rPr>
              <w:t xml:space="preserve">д. </w:t>
            </w:r>
            <w:r w:rsidRPr="00D208C3">
              <w:rPr>
                <w:rFonts w:ascii="Times New Roman" w:hAnsi="Times New Roman"/>
                <w:sz w:val="16"/>
                <w:szCs w:val="16"/>
              </w:rPr>
              <w:t xml:space="preserve">90; </w:t>
            </w:r>
          </w:p>
          <w:p w:rsidR="00F003E8" w:rsidRPr="0015343D" w:rsidRDefault="00F003E8" w:rsidP="00FA2071">
            <w:pPr>
              <w:spacing w:after="0"/>
              <w:contextualSpacing/>
              <w:jc w:val="both"/>
              <w:rPr>
                <w:rFonts w:ascii="Times New Roman" w:hAnsi="Times New Roman"/>
                <w:sz w:val="16"/>
                <w:szCs w:val="16"/>
              </w:rPr>
            </w:pPr>
            <w:r w:rsidRPr="00D208C3">
              <w:rPr>
                <w:rFonts w:ascii="Times New Roman" w:hAnsi="Times New Roman"/>
                <w:sz w:val="16"/>
                <w:szCs w:val="16"/>
              </w:rPr>
              <w:t xml:space="preserve">контактный телефон: 8-800-700-92-20; официальный сайт: </w:t>
            </w:r>
            <w:hyperlink r:id="rId6" w:history="1">
              <w:r w:rsidRPr="00B518A4">
                <w:rPr>
                  <w:rStyle w:val="a3"/>
                  <w:rFonts w:ascii="Times New Roman" w:hAnsi="Times New Roman"/>
                  <w:sz w:val="16"/>
                  <w:szCs w:val="16"/>
                  <w:lang w:val="en-US"/>
                </w:rPr>
                <w:t>https</w:t>
              </w:r>
              <w:r w:rsidRPr="00B518A4">
                <w:rPr>
                  <w:rStyle w:val="a3"/>
                  <w:rFonts w:ascii="Times New Roman" w:hAnsi="Times New Roman"/>
                  <w:sz w:val="16"/>
                  <w:szCs w:val="16"/>
                </w:rPr>
                <w:t>://</w:t>
              </w:r>
              <w:r w:rsidRPr="00B518A4">
                <w:rPr>
                  <w:rStyle w:val="a3"/>
                  <w:rFonts w:ascii="Times New Roman" w:hAnsi="Times New Roman"/>
                  <w:sz w:val="16"/>
                  <w:szCs w:val="16"/>
                  <w:lang w:val="en-US"/>
                </w:rPr>
                <w:t>solid</w:t>
              </w:r>
              <w:r w:rsidRPr="00B518A4">
                <w:rPr>
                  <w:rStyle w:val="a3"/>
                  <w:rFonts w:ascii="Times New Roman" w:hAnsi="Times New Roman"/>
                  <w:sz w:val="16"/>
                  <w:szCs w:val="16"/>
                </w:rPr>
                <w:t>.</w:t>
              </w:r>
              <w:proofErr w:type="spellStart"/>
              <w:r w:rsidRPr="00B518A4">
                <w:rPr>
                  <w:rStyle w:val="a3"/>
                  <w:rFonts w:ascii="Times New Roman" w:hAnsi="Times New Roman"/>
                  <w:sz w:val="16"/>
                  <w:szCs w:val="16"/>
                  <w:lang w:val="en-US"/>
                </w:rPr>
                <w:t>ru</w:t>
              </w:r>
              <w:proofErr w:type="spellEnd"/>
            </w:hyperlink>
            <w:r>
              <w:rPr>
                <w:rFonts w:ascii="Times New Roman" w:hAnsi="Times New Roman"/>
                <w:sz w:val="16"/>
                <w:szCs w:val="16"/>
              </w:rPr>
              <w:t xml:space="preserve"> </w:t>
            </w:r>
          </w:p>
        </w:tc>
      </w:tr>
      <w:tr w:rsidR="00F003E8" w:rsidRPr="00D208C3" w:rsidTr="00FA2071">
        <w:tc>
          <w:tcPr>
            <w:tcW w:w="10173" w:type="dxa"/>
            <w:gridSpan w:val="4"/>
            <w:vAlign w:val="center"/>
          </w:tcPr>
          <w:p w:rsidR="00F003E8" w:rsidRPr="00D208C3" w:rsidRDefault="00F003E8" w:rsidP="00FA2071">
            <w:pPr>
              <w:spacing w:after="0" w:line="240" w:lineRule="auto"/>
              <w:contextualSpacing/>
              <w:jc w:val="both"/>
              <w:rPr>
                <w:rFonts w:ascii="Times New Roman" w:hAnsi="Times New Roman"/>
                <w:sz w:val="16"/>
                <w:szCs w:val="16"/>
              </w:rPr>
            </w:pPr>
            <w:r w:rsidRPr="00D208C3">
              <w:rPr>
                <w:rFonts w:ascii="Times New Roman" w:hAnsi="Times New Roman"/>
                <w:sz w:val="16"/>
                <w:szCs w:val="16"/>
              </w:rPr>
              <w:t xml:space="preserve">Не является договором, частью договора, офертой и не порождает взаимные права и обязанности сторон. Перед заключением договора необходимо внимательно ознакомиться с условиями </w:t>
            </w:r>
            <w:r>
              <w:rPr>
                <w:rFonts w:ascii="Times New Roman" w:hAnsi="Times New Roman"/>
                <w:sz w:val="16"/>
                <w:szCs w:val="16"/>
              </w:rPr>
              <w:t>по вкладу -</w:t>
            </w:r>
            <w:r w:rsidRPr="00D208C3">
              <w:rPr>
                <w:rFonts w:ascii="Times New Roman" w:hAnsi="Times New Roman"/>
                <w:sz w:val="16"/>
                <w:szCs w:val="16"/>
              </w:rPr>
              <w:t xml:space="preserve"> </w:t>
            </w:r>
            <w:r w:rsidRPr="00435A98">
              <w:rPr>
                <w:rFonts w:ascii="Times New Roman" w:hAnsi="Times New Roman"/>
                <w:sz w:val="16"/>
                <w:szCs w:val="16"/>
              </w:rPr>
              <w:t>Договором вклада</w:t>
            </w:r>
            <w:r w:rsidRPr="00D9454B">
              <w:rPr>
                <w:rFonts w:ascii="Times New Roman" w:hAnsi="Times New Roman"/>
                <w:sz w:val="16"/>
                <w:szCs w:val="16"/>
              </w:rPr>
              <w:t>,</w:t>
            </w:r>
            <w:r>
              <w:rPr>
                <w:rFonts w:ascii="Times New Roman" w:hAnsi="Times New Roman"/>
                <w:sz w:val="16"/>
                <w:szCs w:val="16"/>
              </w:rPr>
              <w:t xml:space="preserve"> «</w:t>
            </w:r>
            <w:r w:rsidRPr="00D208C3">
              <w:rPr>
                <w:rFonts w:ascii="Times New Roman" w:hAnsi="Times New Roman"/>
                <w:sz w:val="16"/>
                <w:szCs w:val="16"/>
              </w:rPr>
              <w:t>Правила</w:t>
            </w:r>
            <w:r>
              <w:rPr>
                <w:rFonts w:ascii="Times New Roman" w:hAnsi="Times New Roman"/>
                <w:sz w:val="16"/>
                <w:szCs w:val="16"/>
              </w:rPr>
              <w:t>ми</w:t>
            </w:r>
            <w:r w:rsidRPr="00D208C3">
              <w:rPr>
                <w:rFonts w:ascii="Times New Roman" w:hAnsi="Times New Roman"/>
                <w:sz w:val="16"/>
                <w:szCs w:val="16"/>
              </w:rPr>
              <w:t xml:space="preserve"> открытия, ведения и закрытия счетов физических лиц в АО КБ «Солидарность».</w:t>
            </w:r>
          </w:p>
        </w:tc>
      </w:tr>
      <w:tr w:rsidR="00F003E8" w:rsidRPr="00D208C3" w:rsidTr="00FA2071">
        <w:trPr>
          <w:trHeight w:val="196"/>
        </w:trPr>
        <w:tc>
          <w:tcPr>
            <w:tcW w:w="10173" w:type="dxa"/>
            <w:gridSpan w:val="4"/>
            <w:shd w:val="clear" w:color="auto" w:fill="D9D9D9" w:themeFill="background1" w:themeFillShade="D9"/>
            <w:vAlign w:val="center"/>
          </w:tcPr>
          <w:p w:rsidR="00F003E8" w:rsidRPr="00493D8B" w:rsidRDefault="00F003E8" w:rsidP="00FA2071">
            <w:pPr>
              <w:spacing w:after="0"/>
              <w:contextualSpacing/>
              <w:jc w:val="center"/>
              <w:rPr>
                <w:rFonts w:ascii="Times New Roman" w:hAnsi="Times New Roman"/>
                <w:b/>
                <w:sz w:val="16"/>
                <w:szCs w:val="16"/>
              </w:rPr>
            </w:pPr>
            <w:r w:rsidRPr="00493D8B">
              <w:rPr>
                <w:rFonts w:ascii="Times New Roman" w:hAnsi="Times New Roman"/>
                <w:b/>
                <w:sz w:val="16"/>
                <w:szCs w:val="16"/>
              </w:rPr>
              <w:t>ОСНОВНЫЕ УСЛОВИЯ</w:t>
            </w:r>
          </w:p>
        </w:tc>
      </w:tr>
      <w:tr w:rsidR="00F003E8" w:rsidRPr="00D208C3" w:rsidTr="00FA2071">
        <w:trPr>
          <w:trHeight w:val="127"/>
        </w:trPr>
        <w:tc>
          <w:tcPr>
            <w:tcW w:w="2518" w:type="dxa"/>
            <w:vAlign w:val="center"/>
          </w:tcPr>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sz w:val="16"/>
                <w:szCs w:val="16"/>
              </w:rPr>
              <w:t>Минимальная сумма вклада</w:t>
            </w:r>
          </w:p>
        </w:tc>
        <w:tc>
          <w:tcPr>
            <w:tcW w:w="7655" w:type="dxa"/>
            <w:gridSpan w:val="3"/>
            <w:vAlign w:val="center"/>
          </w:tcPr>
          <w:p w:rsidR="00F003E8" w:rsidRPr="00493D8B" w:rsidRDefault="00F003E8" w:rsidP="00FA2071">
            <w:pPr>
              <w:spacing w:after="0" w:line="240" w:lineRule="auto"/>
              <w:contextualSpacing/>
              <w:rPr>
                <w:rFonts w:ascii="Times New Roman" w:hAnsi="Times New Roman"/>
                <w:sz w:val="16"/>
                <w:szCs w:val="16"/>
              </w:rPr>
            </w:pPr>
            <w:r w:rsidRPr="00493D8B">
              <w:rPr>
                <w:rFonts w:ascii="Times New Roman" w:hAnsi="Times New Roman"/>
                <w:sz w:val="16"/>
                <w:szCs w:val="16"/>
              </w:rPr>
              <w:t>75 000</w:t>
            </w:r>
            <w:r w:rsidRPr="00493D8B">
              <w:rPr>
                <w:rFonts w:ascii="Times New Roman" w:hAnsi="Times New Roman"/>
                <w:sz w:val="16"/>
                <w:szCs w:val="16"/>
                <w:lang w:val="en-US"/>
              </w:rPr>
              <w:t xml:space="preserve"> RUB</w:t>
            </w:r>
          </w:p>
        </w:tc>
      </w:tr>
      <w:tr w:rsidR="00F003E8" w:rsidRPr="00D208C3" w:rsidTr="00FA2071">
        <w:trPr>
          <w:trHeight w:val="53"/>
        </w:trPr>
        <w:tc>
          <w:tcPr>
            <w:tcW w:w="2518" w:type="dxa"/>
            <w:vAlign w:val="center"/>
          </w:tcPr>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sz w:val="16"/>
                <w:szCs w:val="16"/>
              </w:rPr>
              <w:t>Валюта вклада</w:t>
            </w:r>
          </w:p>
        </w:tc>
        <w:tc>
          <w:tcPr>
            <w:tcW w:w="7655" w:type="dxa"/>
            <w:gridSpan w:val="3"/>
            <w:vAlign w:val="center"/>
          </w:tcPr>
          <w:p w:rsidR="00F003E8" w:rsidRPr="00493D8B" w:rsidRDefault="00F003E8" w:rsidP="00FA2071">
            <w:pPr>
              <w:spacing w:after="0" w:line="240" w:lineRule="auto"/>
              <w:contextualSpacing/>
              <w:rPr>
                <w:rFonts w:ascii="Times New Roman" w:hAnsi="Times New Roman"/>
                <w:sz w:val="16"/>
                <w:szCs w:val="16"/>
              </w:rPr>
            </w:pPr>
            <w:r w:rsidRPr="00493D8B">
              <w:rPr>
                <w:rFonts w:ascii="Times New Roman" w:hAnsi="Times New Roman"/>
                <w:sz w:val="16"/>
                <w:szCs w:val="16"/>
              </w:rPr>
              <w:t>Рубли Российской Федерации (</w:t>
            </w:r>
            <w:r w:rsidRPr="00493D8B">
              <w:rPr>
                <w:rFonts w:ascii="Times New Roman" w:hAnsi="Times New Roman"/>
                <w:sz w:val="16"/>
                <w:szCs w:val="16"/>
                <w:lang w:val="en-US"/>
              </w:rPr>
              <w:t>RUB</w:t>
            </w:r>
            <w:r w:rsidRPr="00493D8B">
              <w:rPr>
                <w:rFonts w:ascii="Times New Roman" w:hAnsi="Times New Roman"/>
                <w:sz w:val="16"/>
                <w:szCs w:val="16"/>
              </w:rPr>
              <w:t>)</w:t>
            </w:r>
          </w:p>
        </w:tc>
      </w:tr>
      <w:tr w:rsidR="00F003E8" w:rsidRPr="00D208C3" w:rsidTr="00FA2071">
        <w:trPr>
          <w:trHeight w:val="91"/>
        </w:trPr>
        <w:tc>
          <w:tcPr>
            <w:tcW w:w="2518" w:type="dxa"/>
            <w:vAlign w:val="center"/>
          </w:tcPr>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sz w:val="16"/>
                <w:szCs w:val="16"/>
              </w:rPr>
              <w:t>Срок вклада</w:t>
            </w:r>
          </w:p>
        </w:tc>
        <w:tc>
          <w:tcPr>
            <w:tcW w:w="7655" w:type="dxa"/>
            <w:gridSpan w:val="3"/>
            <w:vAlign w:val="center"/>
          </w:tcPr>
          <w:p w:rsidR="00F003E8" w:rsidRPr="00493D8B" w:rsidRDefault="00F003E8" w:rsidP="00FA2071">
            <w:pPr>
              <w:spacing w:after="0"/>
              <w:ind w:left="-82" w:firstLine="82"/>
              <w:contextualSpacing/>
              <w:rPr>
                <w:rFonts w:ascii="Times New Roman" w:hAnsi="Times New Roman"/>
                <w:bCs/>
                <w:iCs/>
                <w:sz w:val="16"/>
                <w:szCs w:val="16"/>
              </w:rPr>
            </w:pPr>
            <w:r>
              <w:rPr>
                <w:rFonts w:ascii="Times New Roman" w:hAnsi="Times New Roman"/>
                <w:bCs/>
                <w:iCs/>
                <w:sz w:val="16"/>
                <w:szCs w:val="16"/>
              </w:rPr>
              <w:t>60</w:t>
            </w:r>
            <w:r w:rsidRPr="00493D8B">
              <w:rPr>
                <w:rFonts w:ascii="Times New Roman" w:hAnsi="Times New Roman"/>
                <w:bCs/>
                <w:iCs/>
                <w:sz w:val="16"/>
                <w:szCs w:val="16"/>
              </w:rPr>
              <w:t xml:space="preserve"> день, </w:t>
            </w:r>
            <w:r>
              <w:rPr>
                <w:rFonts w:ascii="Times New Roman" w:hAnsi="Times New Roman"/>
                <w:bCs/>
                <w:iCs/>
                <w:sz w:val="16"/>
                <w:szCs w:val="16"/>
              </w:rPr>
              <w:t>91</w:t>
            </w:r>
            <w:r w:rsidRPr="00493D8B">
              <w:rPr>
                <w:rFonts w:ascii="Times New Roman" w:hAnsi="Times New Roman"/>
                <w:bCs/>
                <w:iCs/>
                <w:sz w:val="16"/>
                <w:szCs w:val="16"/>
              </w:rPr>
              <w:t xml:space="preserve"> дней</w:t>
            </w:r>
            <w:r>
              <w:rPr>
                <w:rFonts w:ascii="Times New Roman" w:hAnsi="Times New Roman"/>
                <w:bCs/>
                <w:iCs/>
                <w:sz w:val="16"/>
                <w:szCs w:val="16"/>
              </w:rPr>
              <w:t>, 181 дней</w:t>
            </w:r>
          </w:p>
        </w:tc>
      </w:tr>
      <w:tr w:rsidR="00F003E8" w:rsidRPr="00D208C3" w:rsidTr="00FA2071">
        <w:trPr>
          <w:trHeight w:val="403"/>
        </w:trPr>
        <w:tc>
          <w:tcPr>
            <w:tcW w:w="2518" w:type="dxa"/>
            <w:vAlign w:val="center"/>
          </w:tcPr>
          <w:p w:rsidR="00F003E8" w:rsidRPr="00D208C3" w:rsidRDefault="00F003E8" w:rsidP="00FA2071">
            <w:pPr>
              <w:spacing w:after="0"/>
              <w:contextualSpacing/>
              <w:rPr>
                <w:rFonts w:ascii="Times New Roman" w:hAnsi="Times New Roman"/>
                <w:b/>
                <w:sz w:val="16"/>
                <w:szCs w:val="16"/>
              </w:rPr>
            </w:pPr>
            <w:r w:rsidRPr="00D208C3">
              <w:rPr>
                <w:rFonts w:ascii="Times New Roman" w:hAnsi="Times New Roman"/>
                <w:b/>
                <w:sz w:val="16"/>
                <w:szCs w:val="16"/>
              </w:rPr>
              <w:t>Возможность дистанционного обслуживания</w:t>
            </w:r>
          </w:p>
        </w:tc>
        <w:tc>
          <w:tcPr>
            <w:tcW w:w="7655" w:type="dxa"/>
            <w:gridSpan w:val="3"/>
            <w:vAlign w:val="center"/>
          </w:tcPr>
          <w:p w:rsidR="00F003E8" w:rsidRDefault="00F003E8" w:rsidP="00FA2071">
            <w:pPr>
              <w:spacing w:after="0" w:line="240" w:lineRule="auto"/>
              <w:contextualSpacing/>
              <w:jc w:val="both"/>
              <w:rPr>
                <w:rFonts w:ascii="Times New Roman" w:hAnsi="Times New Roman"/>
                <w:bCs/>
                <w:iCs/>
                <w:sz w:val="16"/>
                <w:szCs w:val="16"/>
              </w:rPr>
            </w:pPr>
            <w:r w:rsidRPr="00D208C3">
              <w:rPr>
                <w:rFonts w:ascii="Times New Roman" w:hAnsi="Times New Roman"/>
                <w:bCs/>
                <w:iCs/>
                <w:sz w:val="16"/>
                <w:szCs w:val="16"/>
              </w:rPr>
              <w:t>Возможность открытия</w:t>
            </w:r>
            <w:r>
              <w:rPr>
                <w:rFonts w:ascii="Times New Roman" w:hAnsi="Times New Roman"/>
                <w:bCs/>
                <w:iCs/>
                <w:sz w:val="16"/>
                <w:szCs w:val="16"/>
              </w:rPr>
              <w:t xml:space="preserve"> и обслуживания</w:t>
            </w:r>
            <w:r w:rsidRPr="00D208C3">
              <w:rPr>
                <w:rFonts w:ascii="Times New Roman" w:hAnsi="Times New Roman"/>
                <w:bCs/>
                <w:iCs/>
                <w:sz w:val="16"/>
                <w:szCs w:val="16"/>
              </w:rPr>
              <w:t xml:space="preserve"> вклада </w:t>
            </w:r>
            <w:r>
              <w:rPr>
                <w:rFonts w:ascii="Times New Roman" w:hAnsi="Times New Roman"/>
                <w:bCs/>
                <w:iCs/>
                <w:sz w:val="16"/>
                <w:szCs w:val="16"/>
              </w:rPr>
              <w:t>в</w:t>
            </w:r>
            <w:r w:rsidRPr="00D208C3">
              <w:rPr>
                <w:rFonts w:ascii="Times New Roman" w:hAnsi="Times New Roman"/>
                <w:bCs/>
                <w:iCs/>
                <w:sz w:val="16"/>
                <w:szCs w:val="16"/>
              </w:rPr>
              <w:t xml:space="preserve"> систем</w:t>
            </w:r>
            <w:r>
              <w:rPr>
                <w:rFonts w:ascii="Times New Roman" w:hAnsi="Times New Roman"/>
                <w:bCs/>
                <w:iCs/>
                <w:sz w:val="16"/>
                <w:szCs w:val="16"/>
              </w:rPr>
              <w:t>е</w:t>
            </w:r>
            <w:r w:rsidRPr="00D208C3">
              <w:rPr>
                <w:rFonts w:ascii="Times New Roman" w:hAnsi="Times New Roman"/>
                <w:bCs/>
                <w:iCs/>
                <w:sz w:val="16"/>
                <w:szCs w:val="16"/>
              </w:rPr>
              <w:t xml:space="preserve"> дистанционного банковского обслуживания </w:t>
            </w:r>
          </w:p>
          <w:p w:rsidR="00F003E8" w:rsidRPr="00D208C3" w:rsidRDefault="00F003E8" w:rsidP="00FA2071">
            <w:pPr>
              <w:spacing w:after="0" w:line="240" w:lineRule="auto"/>
              <w:contextualSpacing/>
              <w:jc w:val="both"/>
              <w:rPr>
                <w:rFonts w:ascii="Times New Roman" w:hAnsi="Times New Roman"/>
                <w:bCs/>
                <w:iCs/>
                <w:sz w:val="16"/>
                <w:szCs w:val="16"/>
              </w:rPr>
            </w:pPr>
            <w:r w:rsidRPr="00D208C3">
              <w:rPr>
                <w:rFonts w:ascii="Times New Roman" w:hAnsi="Times New Roman"/>
                <w:bCs/>
                <w:iCs/>
                <w:sz w:val="16"/>
                <w:szCs w:val="16"/>
              </w:rPr>
              <w:t>АО КБ «Солидарность» (ДБО</w:t>
            </w:r>
            <w:r>
              <w:rPr>
                <w:rFonts w:ascii="Times New Roman" w:hAnsi="Times New Roman"/>
                <w:bCs/>
                <w:iCs/>
                <w:sz w:val="16"/>
                <w:szCs w:val="16"/>
              </w:rPr>
              <w:t xml:space="preserve"> Банка</w:t>
            </w:r>
            <w:r w:rsidRPr="00D208C3">
              <w:rPr>
                <w:rFonts w:ascii="Times New Roman" w:hAnsi="Times New Roman"/>
                <w:bCs/>
                <w:iCs/>
                <w:sz w:val="16"/>
                <w:szCs w:val="16"/>
              </w:rPr>
              <w:t>)</w:t>
            </w:r>
          </w:p>
        </w:tc>
      </w:tr>
      <w:tr w:rsidR="00F003E8" w:rsidRPr="00D208C3" w:rsidTr="00FA2071">
        <w:trPr>
          <w:trHeight w:val="231"/>
        </w:trPr>
        <w:tc>
          <w:tcPr>
            <w:tcW w:w="2518" w:type="dxa"/>
            <w:vAlign w:val="center"/>
          </w:tcPr>
          <w:p w:rsidR="00F003E8" w:rsidRPr="00D208C3" w:rsidRDefault="00F003E8" w:rsidP="00FA2071">
            <w:pPr>
              <w:spacing w:after="0"/>
              <w:contextualSpacing/>
              <w:rPr>
                <w:rFonts w:ascii="Times New Roman" w:hAnsi="Times New Roman"/>
                <w:b/>
                <w:sz w:val="16"/>
                <w:szCs w:val="16"/>
              </w:rPr>
            </w:pPr>
            <w:r w:rsidRPr="00D208C3">
              <w:rPr>
                <w:rFonts w:ascii="Times New Roman" w:hAnsi="Times New Roman"/>
                <w:b/>
                <w:sz w:val="16"/>
                <w:szCs w:val="16"/>
              </w:rPr>
              <w:t>Необходимость заключения иных договоров</w:t>
            </w:r>
          </w:p>
        </w:tc>
        <w:tc>
          <w:tcPr>
            <w:tcW w:w="7655" w:type="dxa"/>
            <w:gridSpan w:val="3"/>
            <w:vAlign w:val="center"/>
          </w:tcPr>
          <w:p w:rsidR="00F003E8" w:rsidRPr="00D208C3" w:rsidRDefault="00F003E8" w:rsidP="00FA2071">
            <w:pPr>
              <w:spacing w:after="0"/>
              <w:contextualSpacing/>
              <w:jc w:val="both"/>
              <w:rPr>
                <w:rFonts w:ascii="Times New Roman" w:hAnsi="Times New Roman"/>
                <w:bCs/>
                <w:iCs/>
                <w:sz w:val="16"/>
                <w:szCs w:val="16"/>
              </w:rPr>
            </w:pPr>
            <w:r w:rsidRPr="00D208C3">
              <w:rPr>
                <w:rFonts w:ascii="Times New Roman" w:hAnsi="Times New Roman"/>
                <w:bCs/>
                <w:iCs/>
                <w:sz w:val="16"/>
                <w:szCs w:val="16"/>
              </w:rPr>
              <w:t>Не предусмотрено</w:t>
            </w:r>
          </w:p>
        </w:tc>
      </w:tr>
      <w:tr w:rsidR="00F003E8" w:rsidRPr="00D208C3" w:rsidTr="00FA2071">
        <w:trPr>
          <w:trHeight w:val="168"/>
        </w:trPr>
        <w:tc>
          <w:tcPr>
            <w:tcW w:w="10173" w:type="dxa"/>
            <w:gridSpan w:val="4"/>
            <w:shd w:val="clear" w:color="auto" w:fill="D9D9D9" w:themeFill="background1" w:themeFillShade="D9"/>
            <w:vAlign w:val="center"/>
          </w:tcPr>
          <w:p w:rsidR="00F003E8" w:rsidRPr="00493D8B" w:rsidRDefault="00F003E8" w:rsidP="00FA2071">
            <w:pPr>
              <w:spacing w:after="0"/>
              <w:contextualSpacing/>
              <w:jc w:val="center"/>
              <w:rPr>
                <w:rFonts w:ascii="Times New Roman" w:hAnsi="Times New Roman"/>
                <w:b/>
                <w:sz w:val="16"/>
                <w:szCs w:val="16"/>
              </w:rPr>
            </w:pPr>
            <w:r w:rsidRPr="00493D8B">
              <w:rPr>
                <w:rFonts w:ascii="Times New Roman" w:hAnsi="Times New Roman"/>
                <w:b/>
                <w:sz w:val="16"/>
                <w:szCs w:val="16"/>
              </w:rPr>
              <w:t>ПРОЦЕНТЫ ПО ВКЛАДУ</w:t>
            </w:r>
          </w:p>
        </w:tc>
      </w:tr>
      <w:tr w:rsidR="00F003E8" w:rsidRPr="00D208C3" w:rsidTr="00FA2071">
        <w:trPr>
          <w:trHeight w:val="140"/>
        </w:trPr>
        <w:tc>
          <w:tcPr>
            <w:tcW w:w="2518" w:type="dxa"/>
            <w:vMerge w:val="restart"/>
            <w:vAlign w:val="center"/>
          </w:tcPr>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sz w:val="16"/>
                <w:szCs w:val="16"/>
              </w:rPr>
              <w:t>Процентная ставка,</w:t>
            </w:r>
          </w:p>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sz w:val="16"/>
                <w:szCs w:val="16"/>
              </w:rPr>
              <w:t xml:space="preserve">% годовых </w:t>
            </w:r>
          </w:p>
        </w:tc>
        <w:tc>
          <w:tcPr>
            <w:tcW w:w="7655" w:type="dxa"/>
            <w:gridSpan w:val="3"/>
            <w:vAlign w:val="center"/>
          </w:tcPr>
          <w:p w:rsidR="00F003E8" w:rsidRPr="00493D8B" w:rsidRDefault="00F003E8" w:rsidP="00FA2071">
            <w:pPr>
              <w:spacing w:after="0"/>
              <w:contextualSpacing/>
              <w:jc w:val="center"/>
              <w:rPr>
                <w:rFonts w:ascii="Times New Roman" w:hAnsi="Times New Roman"/>
                <w:bCs/>
                <w:iCs/>
                <w:sz w:val="16"/>
                <w:szCs w:val="16"/>
              </w:rPr>
            </w:pPr>
            <w:r w:rsidRPr="00493D8B">
              <w:rPr>
                <w:rFonts w:ascii="Times New Roman" w:hAnsi="Times New Roman"/>
                <w:bCs/>
                <w:iCs/>
                <w:sz w:val="16"/>
                <w:szCs w:val="16"/>
              </w:rPr>
              <w:t>Срок вклада</w:t>
            </w:r>
          </w:p>
        </w:tc>
      </w:tr>
      <w:tr w:rsidR="00F003E8" w:rsidRPr="00D208C3" w:rsidTr="00FA2071">
        <w:trPr>
          <w:trHeight w:val="86"/>
        </w:trPr>
        <w:tc>
          <w:tcPr>
            <w:tcW w:w="2518" w:type="dxa"/>
            <w:vMerge/>
            <w:vAlign w:val="center"/>
          </w:tcPr>
          <w:p w:rsidR="00F003E8" w:rsidRPr="00493D8B" w:rsidRDefault="00F003E8" w:rsidP="00FA2071">
            <w:pPr>
              <w:spacing w:after="0"/>
              <w:contextualSpacing/>
              <w:rPr>
                <w:rFonts w:ascii="Times New Roman" w:hAnsi="Times New Roman"/>
                <w:b/>
                <w:sz w:val="16"/>
                <w:szCs w:val="16"/>
              </w:rPr>
            </w:pPr>
          </w:p>
        </w:tc>
        <w:tc>
          <w:tcPr>
            <w:tcW w:w="1446" w:type="dxa"/>
            <w:vAlign w:val="center"/>
          </w:tcPr>
          <w:p w:rsidR="00F003E8" w:rsidRPr="0090648E" w:rsidRDefault="00F003E8" w:rsidP="00FA2071">
            <w:pPr>
              <w:tabs>
                <w:tab w:val="left" w:pos="321"/>
              </w:tabs>
              <w:spacing w:after="0" w:line="240" w:lineRule="auto"/>
              <w:contextualSpacing/>
              <w:jc w:val="center"/>
              <w:rPr>
                <w:rFonts w:ascii="Times New Roman" w:hAnsi="Times New Roman"/>
                <w:bCs/>
                <w:iCs/>
                <w:color w:val="FF0000"/>
                <w:sz w:val="16"/>
                <w:szCs w:val="16"/>
              </w:rPr>
            </w:pPr>
            <w:r>
              <w:rPr>
                <w:rFonts w:ascii="Times New Roman" w:hAnsi="Times New Roman"/>
                <w:bCs/>
                <w:iCs/>
                <w:color w:val="FF0000"/>
                <w:sz w:val="16"/>
                <w:szCs w:val="16"/>
              </w:rPr>
              <w:t>60</w:t>
            </w:r>
            <w:r w:rsidRPr="0090648E">
              <w:rPr>
                <w:rFonts w:ascii="Times New Roman" w:hAnsi="Times New Roman"/>
                <w:bCs/>
                <w:iCs/>
                <w:color w:val="FF0000"/>
                <w:sz w:val="16"/>
                <w:szCs w:val="16"/>
              </w:rPr>
              <w:t xml:space="preserve"> </w:t>
            </w:r>
            <w:r>
              <w:rPr>
                <w:rFonts w:ascii="Times New Roman" w:hAnsi="Times New Roman"/>
                <w:bCs/>
                <w:iCs/>
                <w:color w:val="FF0000"/>
                <w:sz w:val="16"/>
                <w:szCs w:val="16"/>
              </w:rPr>
              <w:t>дней</w:t>
            </w:r>
          </w:p>
        </w:tc>
        <w:tc>
          <w:tcPr>
            <w:tcW w:w="3104" w:type="dxa"/>
            <w:vAlign w:val="center"/>
          </w:tcPr>
          <w:p w:rsidR="00F003E8" w:rsidRPr="0090648E" w:rsidRDefault="00F003E8" w:rsidP="00FA2071">
            <w:pPr>
              <w:tabs>
                <w:tab w:val="left" w:pos="321"/>
              </w:tabs>
              <w:spacing w:after="0" w:line="240" w:lineRule="auto"/>
              <w:contextualSpacing/>
              <w:jc w:val="center"/>
              <w:rPr>
                <w:rFonts w:ascii="Times New Roman" w:hAnsi="Times New Roman"/>
                <w:bCs/>
                <w:iCs/>
                <w:color w:val="FF0000"/>
                <w:sz w:val="16"/>
                <w:szCs w:val="16"/>
              </w:rPr>
            </w:pPr>
            <w:r>
              <w:rPr>
                <w:rFonts w:ascii="Times New Roman" w:hAnsi="Times New Roman"/>
                <w:bCs/>
                <w:iCs/>
                <w:color w:val="FF0000"/>
                <w:sz w:val="16"/>
                <w:szCs w:val="16"/>
              </w:rPr>
              <w:t>91 день</w:t>
            </w:r>
          </w:p>
        </w:tc>
        <w:tc>
          <w:tcPr>
            <w:tcW w:w="3105" w:type="dxa"/>
            <w:vAlign w:val="center"/>
          </w:tcPr>
          <w:p w:rsidR="00F003E8" w:rsidRPr="0090648E" w:rsidRDefault="00F003E8" w:rsidP="00FA2071">
            <w:pPr>
              <w:spacing w:after="0"/>
              <w:contextualSpacing/>
              <w:jc w:val="center"/>
              <w:rPr>
                <w:rFonts w:ascii="Times New Roman" w:hAnsi="Times New Roman"/>
                <w:bCs/>
                <w:iCs/>
                <w:color w:val="FF0000"/>
                <w:sz w:val="16"/>
                <w:szCs w:val="16"/>
              </w:rPr>
            </w:pPr>
            <w:r>
              <w:rPr>
                <w:rFonts w:ascii="Times New Roman" w:hAnsi="Times New Roman"/>
                <w:bCs/>
                <w:iCs/>
                <w:color w:val="FF0000"/>
                <w:sz w:val="16"/>
                <w:szCs w:val="16"/>
              </w:rPr>
              <w:t>181 день</w:t>
            </w:r>
          </w:p>
        </w:tc>
      </w:tr>
      <w:tr w:rsidR="00F003E8" w:rsidRPr="00D208C3" w:rsidTr="00FA2071">
        <w:trPr>
          <w:trHeight w:val="187"/>
        </w:trPr>
        <w:tc>
          <w:tcPr>
            <w:tcW w:w="2518" w:type="dxa"/>
            <w:vMerge/>
            <w:vAlign w:val="center"/>
          </w:tcPr>
          <w:p w:rsidR="00F003E8" w:rsidRPr="00493D8B" w:rsidRDefault="00F003E8" w:rsidP="00FA2071">
            <w:pPr>
              <w:spacing w:after="0"/>
              <w:contextualSpacing/>
              <w:rPr>
                <w:rFonts w:ascii="Times New Roman" w:hAnsi="Times New Roman"/>
                <w:b/>
                <w:sz w:val="16"/>
                <w:szCs w:val="16"/>
              </w:rPr>
            </w:pPr>
          </w:p>
        </w:tc>
        <w:tc>
          <w:tcPr>
            <w:tcW w:w="1446" w:type="dxa"/>
            <w:vAlign w:val="center"/>
          </w:tcPr>
          <w:p w:rsidR="00F003E8" w:rsidRPr="0090648E" w:rsidRDefault="00F003E8" w:rsidP="00FA2071">
            <w:pPr>
              <w:tabs>
                <w:tab w:val="left" w:pos="321"/>
              </w:tabs>
              <w:spacing w:after="0" w:line="240" w:lineRule="auto"/>
              <w:contextualSpacing/>
              <w:jc w:val="center"/>
              <w:rPr>
                <w:rFonts w:ascii="Times New Roman" w:hAnsi="Times New Roman"/>
                <w:bCs/>
                <w:iCs/>
                <w:color w:val="FF0000"/>
                <w:sz w:val="16"/>
                <w:szCs w:val="16"/>
              </w:rPr>
            </w:pPr>
            <w:r>
              <w:rPr>
                <w:rFonts w:ascii="Times New Roman" w:hAnsi="Times New Roman"/>
                <w:bCs/>
                <w:iCs/>
                <w:color w:val="FF0000"/>
                <w:sz w:val="16"/>
                <w:szCs w:val="16"/>
              </w:rPr>
              <w:t>22,0</w:t>
            </w:r>
          </w:p>
        </w:tc>
        <w:tc>
          <w:tcPr>
            <w:tcW w:w="3104" w:type="dxa"/>
            <w:vAlign w:val="center"/>
          </w:tcPr>
          <w:p w:rsidR="00F003E8" w:rsidRPr="0090648E" w:rsidRDefault="00F003E8" w:rsidP="00FA2071">
            <w:pPr>
              <w:tabs>
                <w:tab w:val="left" w:pos="321"/>
              </w:tabs>
              <w:spacing w:after="0" w:line="240" w:lineRule="auto"/>
              <w:contextualSpacing/>
              <w:jc w:val="center"/>
              <w:rPr>
                <w:rFonts w:ascii="Times New Roman" w:hAnsi="Times New Roman"/>
                <w:bCs/>
                <w:iCs/>
                <w:color w:val="FF0000"/>
                <w:sz w:val="16"/>
                <w:szCs w:val="16"/>
              </w:rPr>
            </w:pPr>
            <w:r>
              <w:rPr>
                <w:rFonts w:ascii="Times New Roman" w:hAnsi="Times New Roman"/>
                <w:bCs/>
                <w:iCs/>
                <w:color w:val="FF0000"/>
                <w:sz w:val="16"/>
                <w:szCs w:val="16"/>
              </w:rPr>
              <w:t>23,0</w:t>
            </w:r>
            <w:r w:rsidRPr="0090648E">
              <w:rPr>
                <w:rFonts w:ascii="Times New Roman" w:hAnsi="Times New Roman"/>
                <w:bCs/>
                <w:iCs/>
                <w:color w:val="FF0000"/>
                <w:sz w:val="16"/>
                <w:szCs w:val="16"/>
              </w:rPr>
              <w:t>%</w:t>
            </w:r>
          </w:p>
        </w:tc>
        <w:tc>
          <w:tcPr>
            <w:tcW w:w="3105" w:type="dxa"/>
            <w:vAlign w:val="center"/>
          </w:tcPr>
          <w:p w:rsidR="00F003E8" w:rsidRPr="0090648E" w:rsidRDefault="00F003E8" w:rsidP="00FA2071">
            <w:pPr>
              <w:tabs>
                <w:tab w:val="left" w:pos="321"/>
              </w:tabs>
              <w:spacing w:after="0" w:line="240" w:lineRule="auto"/>
              <w:contextualSpacing/>
              <w:jc w:val="center"/>
              <w:rPr>
                <w:rFonts w:ascii="Times New Roman" w:hAnsi="Times New Roman"/>
                <w:bCs/>
                <w:iCs/>
                <w:color w:val="FF0000"/>
                <w:sz w:val="16"/>
                <w:szCs w:val="16"/>
              </w:rPr>
            </w:pPr>
            <w:r>
              <w:rPr>
                <w:rFonts w:ascii="Times New Roman" w:hAnsi="Times New Roman"/>
                <w:bCs/>
                <w:iCs/>
                <w:color w:val="FF0000"/>
                <w:sz w:val="16"/>
                <w:szCs w:val="16"/>
              </w:rPr>
              <w:t>24,0</w:t>
            </w:r>
            <w:r w:rsidRPr="0090648E">
              <w:rPr>
                <w:rFonts w:ascii="Times New Roman" w:hAnsi="Times New Roman"/>
                <w:bCs/>
                <w:iCs/>
                <w:color w:val="FF0000"/>
                <w:sz w:val="16"/>
                <w:szCs w:val="16"/>
              </w:rPr>
              <w:t>%</w:t>
            </w:r>
          </w:p>
        </w:tc>
      </w:tr>
      <w:tr w:rsidR="00F003E8" w:rsidRPr="00D208C3" w:rsidTr="00FA2071">
        <w:trPr>
          <w:trHeight w:val="264"/>
        </w:trPr>
        <w:tc>
          <w:tcPr>
            <w:tcW w:w="2518" w:type="dxa"/>
            <w:vAlign w:val="center"/>
          </w:tcPr>
          <w:p w:rsidR="00F003E8" w:rsidRPr="00D208C3" w:rsidRDefault="00F003E8" w:rsidP="00FA2071">
            <w:pPr>
              <w:spacing w:after="0"/>
              <w:contextualSpacing/>
              <w:rPr>
                <w:rFonts w:ascii="Times New Roman" w:hAnsi="Times New Roman"/>
                <w:b/>
                <w:sz w:val="16"/>
                <w:szCs w:val="16"/>
              </w:rPr>
            </w:pPr>
            <w:r w:rsidRPr="00D208C3">
              <w:rPr>
                <w:rFonts w:ascii="Times New Roman" w:hAnsi="Times New Roman"/>
                <w:b/>
                <w:sz w:val="16"/>
                <w:szCs w:val="16"/>
              </w:rPr>
              <w:t xml:space="preserve">Порядок начисления и </w:t>
            </w:r>
            <w:r>
              <w:rPr>
                <w:rFonts w:ascii="Times New Roman" w:hAnsi="Times New Roman"/>
                <w:b/>
                <w:sz w:val="16"/>
                <w:szCs w:val="16"/>
              </w:rPr>
              <w:t xml:space="preserve">выплаты </w:t>
            </w:r>
            <w:r w:rsidRPr="00D208C3">
              <w:rPr>
                <w:rFonts w:ascii="Times New Roman" w:hAnsi="Times New Roman"/>
                <w:b/>
                <w:sz w:val="16"/>
                <w:szCs w:val="16"/>
              </w:rPr>
              <w:t>процентов</w:t>
            </w:r>
          </w:p>
        </w:tc>
        <w:tc>
          <w:tcPr>
            <w:tcW w:w="7655" w:type="dxa"/>
            <w:gridSpan w:val="3"/>
            <w:vAlign w:val="center"/>
          </w:tcPr>
          <w:p w:rsidR="00F003E8" w:rsidRPr="00366B97" w:rsidRDefault="00F003E8" w:rsidP="00FA2071">
            <w:pPr>
              <w:tabs>
                <w:tab w:val="left" w:pos="321"/>
              </w:tabs>
              <w:spacing w:after="0" w:line="240" w:lineRule="auto"/>
              <w:contextualSpacing/>
              <w:jc w:val="both"/>
              <w:rPr>
                <w:rFonts w:ascii="Times New Roman" w:hAnsi="Times New Roman"/>
                <w:b/>
                <w:bCs/>
                <w:iCs/>
                <w:sz w:val="16"/>
                <w:szCs w:val="16"/>
              </w:rPr>
            </w:pPr>
            <w:r w:rsidRPr="00366B97">
              <w:rPr>
                <w:rFonts w:ascii="Times New Roman" w:hAnsi="Times New Roman"/>
                <w:b/>
                <w:bCs/>
                <w:iCs/>
                <w:sz w:val="16"/>
                <w:szCs w:val="16"/>
              </w:rPr>
              <w:t>Порядок начисления процентов:</w:t>
            </w:r>
          </w:p>
          <w:p w:rsidR="00F003E8" w:rsidRPr="00366B97" w:rsidRDefault="00F003E8" w:rsidP="00FA2071">
            <w:pPr>
              <w:tabs>
                <w:tab w:val="left" w:pos="321"/>
              </w:tabs>
              <w:spacing w:after="0" w:line="240" w:lineRule="auto"/>
              <w:contextualSpacing/>
              <w:jc w:val="both"/>
              <w:rPr>
                <w:rFonts w:ascii="Times New Roman" w:hAnsi="Times New Roman"/>
                <w:bCs/>
                <w:iCs/>
                <w:sz w:val="16"/>
                <w:szCs w:val="16"/>
              </w:rPr>
            </w:pPr>
            <w:r w:rsidRPr="00366B97">
              <w:rPr>
                <w:rFonts w:ascii="Times New Roman" w:hAnsi="Times New Roman"/>
                <w:bCs/>
                <w:iCs/>
                <w:sz w:val="16"/>
                <w:szCs w:val="16"/>
              </w:rPr>
              <w:t>Проценты на сумму Вклада начисляются со дня, следующего за днем ее зачисления на счет Вклада, до дня ее возврата (списания со счета Вклада) включительно, на сумму фактического остатка денежных средств на счете Вклада на начало операционного дня.</w:t>
            </w:r>
          </w:p>
          <w:p w:rsidR="00F003E8" w:rsidRPr="00366B97" w:rsidRDefault="00F003E8" w:rsidP="00FA2071">
            <w:pPr>
              <w:tabs>
                <w:tab w:val="left" w:pos="321"/>
              </w:tabs>
              <w:spacing w:after="0" w:line="240" w:lineRule="auto"/>
              <w:contextualSpacing/>
              <w:jc w:val="both"/>
              <w:rPr>
                <w:rFonts w:ascii="Times New Roman" w:hAnsi="Times New Roman"/>
                <w:bCs/>
                <w:iCs/>
                <w:sz w:val="16"/>
                <w:szCs w:val="16"/>
              </w:rPr>
            </w:pPr>
            <w:r w:rsidRPr="00366B97">
              <w:rPr>
                <w:rFonts w:ascii="Times New Roman" w:hAnsi="Times New Roman"/>
                <w:bCs/>
                <w:iCs/>
                <w:sz w:val="16"/>
                <w:szCs w:val="16"/>
              </w:rPr>
              <w:t>Проценты на сумму Вклада начисляются ежемесячно в последний рабочий день месяца и доначисляются ежемесячно каждый 30-й день со дня открытия Вклада.</w:t>
            </w:r>
          </w:p>
          <w:p w:rsidR="00F003E8" w:rsidRPr="00366B97" w:rsidRDefault="00F003E8" w:rsidP="00FA2071">
            <w:pPr>
              <w:tabs>
                <w:tab w:val="left" w:pos="321"/>
              </w:tabs>
              <w:spacing w:after="0" w:line="240" w:lineRule="auto"/>
              <w:contextualSpacing/>
              <w:jc w:val="both"/>
              <w:rPr>
                <w:rFonts w:ascii="Times New Roman" w:hAnsi="Times New Roman"/>
                <w:bCs/>
                <w:iCs/>
                <w:sz w:val="16"/>
                <w:szCs w:val="16"/>
              </w:rPr>
            </w:pPr>
          </w:p>
          <w:p w:rsidR="00F003E8" w:rsidRPr="005171CD" w:rsidRDefault="00F003E8" w:rsidP="00FA2071">
            <w:pPr>
              <w:tabs>
                <w:tab w:val="left" w:pos="321"/>
              </w:tabs>
              <w:spacing w:after="0" w:line="240" w:lineRule="auto"/>
              <w:contextualSpacing/>
              <w:jc w:val="both"/>
              <w:rPr>
                <w:rFonts w:ascii="Times New Roman" w:hAnsi="Times New Roman"/>
                <w:b/>
                <w:bCs/>
                <w:iCs/>
                <w:sz w:val="16"/>
                <w:szCs w:val="16"/>
              </w:rPr>
            </w:pPr>
            <w:r w:rsidRPr="00366B97">
              <w:rPr>
                <w:rFonts w:ascii="Times New Roman" w:hAnsi="Times New Roman"/>
                <w:b/>
                <w:bCs/>
                <w:iCs/>
                <w:sz w:val="16"/>
                <w:szCs w:val="16"/>
              </w:rPr>
              <w:t xml:space="preserve">Порядок </w:t>
            </w:r>
            <w:r>
              <w:rPr>
                <w:rFonts w:ascii="Times New Roman" w:hAnsi="Times New Roman"/>
                <w:b/>
                <w:bCs/>
                <w:iCs/>
                <w:sz w:val="16"/>
                <w:szCs w:val="16"/>
              </w:rPr>
              <w:t>выплаты</w:t>
            </w:r>
            <w:r w:rsidRPr="00366B97">
              <w:rPr>
                <w:rFonts w:ascii="Times New Roman" w:hAnsi="Times New Roman"/>
                <w:b/>
                <w:bCs/>
                <w:iCs/>
                <w:sz w:val="16"/>
                <w:szCs w:val="16"/>
              </w:rPr>
              <w:t xml:space="preserve"> процентов:</w:t>
            </w:r>
          </w:p>
          <w:p w:rsidR="00F003E8" w:rsidRPr="00366B97" w:rsidRDefault="00F003E8" w:rsidP="00FA2071">
            <w:pPr>
              <w:tabs>
                <w:tab w:val="left" w:pos="321"/>
              </w:tabs>
              <w:spacing w:after="0" w:line="240" w:lineRule="auto"/>
              <w:contextualSpacing/>
              <w:jc w:val="both"/>
              <w:rPr>
                <w:rFonts w:ascii="Times New Roman" w:hAnsi="Times New Roman"/>
                <w:bCs/>
                <w:iCs/>
                <w:sz w:val="16"/>
                <w:szCs w:val="16"/>
              </w:rPr>
            </w:pPr>
            <w:r w:rsidRPr="00366B97">
              <w:rPr>
                <w:rFonts w:ascii="Times New Roman" w:hAnsi="Times New Roman"/>
                <w:bCs/>
                <w:iCs/>
                <w:sz w:val="16"/>
                <w:szCs w:val="16"/>
              </w:rPr>
              <w:t>Капитализация не предусмотрена.</w:t>
            </w:r>
          </w:p>
          <w:p w:rsidR="00F003E8" w:rsidRDefault="00F003E8" w:rsidP="00FA2071">
            <w:pPr>
              <w:tabs>
                <w:tab w:val="left" w:pos="321"/>
              </w:tabs>
              <w:spacing w:after="0" w:line="240" w:lineRule="auto"/>
              <w:contextualSpacing/>
              <w:jc w:val="both"/>
              <w:rPr>
                <w:rFonts w:ascii="Times New Roman" w:hAnsi="Times New Roman"/>
                <w:bCs/>
                <w:iCs/>
                <w:sz w:val="16"/>
                <w:szCs w:val="16"/>
              </w:rPr>
            </w:pPr>
            <w:r w:rsidRPr="00366B97">
              <w:rPr>
                <w:rFonts w:ascii="Times New Roman" w:hAnsi="Times New Roman"/>
                <w:bCs/>
                <w:iCs/>
                <w:sz w:val="16"/>
                <w:szCs w:val="16"/>
              </w:rPr>
              <w:t>Проценты выплачиваются Вкладчику каждый 30-й день со дня открытия Вклада и по окончани</w:t>
            </w:r>
            <w:r>
              <w:rPr>
                <w:rFonts w:ascii="Times New Roman" w:hAnsi="Times New Roman"/>
                <w:bCs/>
                <w:iCs/>
                <w:sz w:val="16"/>
                <w:szCs w:val="16"/>
              </w:rPr>
              <w:t>и</w:t>
            </w:r>
            <w:r w:rsidRPr="00366B97">
              <w:rPr>
                <w:rFonts w:ascii="Times New Roman" w:hAnsi="Times New Roman"/>
                <w:bCs/>
                <w:iCs/>
                <w:sz w:val="16"/>
                <w:szCs w:val="16"/>
              </w:rPr>
              <w:t xml:space="preserve"> срока хранения Вклада следующим способом (по выбору Вкладчика):</w:t>
            </w:r>
          </w:p>
          <w:p w:rsidR="00F003E8" w:rsidRPr="00F75D79" w:rsidRDefault="00F003E8" w:rsidP="00FA2071">
            <w:pPr>
              <w:tabs>
                <w:tab w:val="left" w:pos="321"/>
              </w:tabs>
              <w:spacing w:after="0" w:line="240" w:lineRule="auto"/>
              <w:contextualSpacing/>
              <w:jc w:val="both"/>
              <w:rPr>
                <w:rFonts w:ascii="Times New Roman" w:hAnsi="Times New Roman"/>
                <w:bCs/>
                <w:iCs/>
                <w:sz w:val="16"/>
                <w:szCs w:val="16"/>
              </w:rPr>
            </w:pPr>
            <w:r w:rsidRPr="00F75D79">
              <w:rPr>
                <w:rFonts w:ascii="Times New Roman" w:hAnsi="Times New Roman"/>
                <w:bCs/>
                <w:iCs/>
                <w:sz w:val="16"/>
                <w:szCs w:val="16"/>
              </w:rPr>
              <w:t>•   путем перечисления процентов на текущий счет Вкладчика в валюте Вклада, открытый в Банке;</w:t>
            </w:r>
          </w:p>
          <w:p w:rsidR="00F003E8" w:rsidRPr="00D208C3" w:rsidRDefault="00F003E8" w:rsidP="00FA2071">
            <w:pPr>
              <w:tabs>
                <w:tab w:val="left" w:pos="321"/>
              </w:tabs>
              <w:spacing w:after="0" w:line="240" w:lineRule="auto"/>
              <w:contextualSpacing/>
              <w:jc w:val="both"/>
              <w:rPr>
                <w:rFonts w:ascii="Times New Roman" w:hAnsi="Times New Roman"/>
                <w:bCs/>
                <w:iCs/>
                <w:sz w:val="16"/>
                <w:szCs w:val="16"/>
              </w:rPr>
            </w:pPr>
            <w:r w:rsidRPr="00F75D79">
              <w:rPr>
                <w:rFonts w:ascii="Times New Roman" w:hAnsi="Times New Roman"/>
                <w:bCs/>
                <w:iCs/>
                <w:sz w:val="16"/>
                <w:szCs w:val="16"/>
              </w:rPr>
              <w:t>•  путем перечисления процентов на специальный карточный счет Вкладчика в валюте Вклада, открытый в Банке.</w:t>
            </w:r>
          </w:p>
        </w:tc>
      </w:tr>
      <w:tr w:rsidR="00F003E8" w:rsidRPr="00D208C3" w:rsidTr="00FA2071">
        <w:trPr>
          <w:trHeight w:val="53"/>
        </w:trPr>
        <w:tc>
          <w:tcPr>
            <w:tcW w:w="10173" w:type="dxa"/>
            <w:gridSpan w:val="4"/>
            <w:shd w:val="clear" w:color="auto" w:fill="D9D9D9" w:themeFill="background1" w:themeFillShade="D9"/>
            <w:vAlign w:val="center"/>
          </w:tcPr>
          <w:p w:rsidR="00F003E8" w:rsidRPr="00493D8B" w:rsidRDefault="00F003E8" w:rsidP="00FA2071">
            <w:pPr>
              <w:tabs>
                <w:tab w:val="left" w:pos="321"/>
              </w:tabs>
              <w:spacing w:after="0" w:line="240" w:lineRule="auto"/>
              <w:contextualSpacing/>
              <w:jc w:val="center"/>
              <w:rPr>
                <w:rFonts w:ascii="Times New Roman" w:hAnsi="Times New Roman"/>
                <w:b/>
                <w:bCs/>
                <w:iCs/>
                <w:sz w:val="16"/>
                <w:szCs w:val="16"/>
                <w:highlight w:val="lightGray"/>
              </w:rPr>
            </w:pPr>
            <w:r w:rsidRPr="00493D8B">
              <w:rPr>
                <w:rFonts w:ascii="Times New Roman" w:hAnsi="Times New Roman"/>
                <w:b/>
                <w:bCs/>
                <w:iCs/>
                <w:sz w:val="16"/>
                <w:szCs w:val="16"/>
                <w:highlight w:val="lightGray"/>
              </w:rPr>
              <w:t>ОПЕРАЦИИ ПО ВКЛАДУ</w:t>
            </w:r>
          </w:p>
        </w:tc>
      </w:tr>
      <w:tr w:rsidR="00F003E8" w:rsidRPr="00D208C3" w:rsidTr="00FA2071">
        <w:trPr>
          <w:trHeight w:val="405"/>
        </w:trPr>
        <w:tc>
          <w:tcPr>
            <w:tcW w:w="2518" w:type="dxa"/>
            <w:vAlign w:val="center"/>
          </w:tcPr>
          <w:p w:rsidR="00F003E8" w:rsidRPr="00493D8B" w:rsidRDefault="00F003E8" w:rsidP="00FA2071">
            <w:pPr>
              <w:spacing w:after="0"/>
              <w:contextualSpacing/>
              <w:rPr>
                <w:rFonts w:ascii="Times New Roman" w:hAnsi="Times New Roman"/>
                <w:b/>
                <w:sz w:val="16"/>
                <w:szCs w:val="16"/>
              </w:rPr>
            </w:pPr>
            <w:r w:rsidRPr="00493D8B">
              <w:rPr>
                <w:rFonts w:ascii="Times New Roman" w:hAnsi="Times New Roman"/>
                <w:b/>
                <w:bCs/>
                <w:sz w:val="16"/>
                <w:szCs w:val="16"/>
              </w:rPr>
              <w:t>Возможность пополнения</w:t>
            </w:r>
          </w:p>
        </w:tc>
        <w:tc>
          <w:tcPr>
            <w:tcW w:w="7655" w:type="dxa"/>
            <w:gridSpan w:val="3"/>
            <w:vAlign w:val="center"/>
          </w:tcPr>
          <w:p w:rsidR="00F003E8" w:rsidRPr="00493D8B" w:rsidRDefault="00F003E8" w:rsidP="00FA2071">
            <w:pPr>
              <w:tabs>
                <w:tab w:val="left" w:pos="321"/>
              </w:tabs>
              <w:spacing w:after="0" w:line="240" w:lineRule="auto"/>
              <w:contextualSpacing/>
              <w:rPr>
                <w:rFonts w:ascii="Times New Roman" w:hAnsi="Times New Roman"/>
                <w:sz w:val="16"/>
                <w:szCs w:val="16"/>
              </w:rPr>
            </w:pPr>
            <w:r w:rsidRPr="00493D8B">
              <w:rPr>
                <w:rFonts w:ascii="Times New Roman" w:hAnsi="Times New Roman"/>
                <w:sz w:val="16"/>
                <w:szCs w:val="16"/>
              </w:rPr>
              <w:t>Весь срок вклада.</w:t>
            </w:r>
          </w:p>
          <w:p w:rsidR="00F003E8" w:rsidRPr="00493D8B" w:rsidRDefault="00F003E8" w:rsidP="00FA2071">
            <w:pPr>
              <w:spacing w:after="0" w:line="240" w:lineRule="auto"/>
              <w:contextualSpacing/>
              <w:rPr>
                <w:rFonts w:ascii="Times New Roman" w:hAnsi="Times New Roman"/>
                <w:bCs/>
                <w:iCs/>
                <w:sz w:val="16"/>
                <w:szCs w:val="16"/>
              </w:rPr>
            </w:pPr>
            <w:r w:rsidRPr="00493D8B">
              <w:rPr>
                <w:rFonts w:ascii="Times New Roman" w:hAnsi="Times New Roman"/>
                <w:sz w:val="16"/>
                <w:szCs w:val="16"/>
              </w:rPr>
              <w:t xml:space="preserve">Минимальная сумма пополнения – 50 000 </w:t>
            </w:r>
            <w:r w:rsidRPr="00493D8B">
              <w:rPr>
                <w:rFonts w:ascii="Times New Roman" w:hAnsi="Times New Roman"/>
                <w:sz w:val="16"/>
                <w:szCs w:val="16"/>
                <w:lang w:val="en-US"/>
              </w:rPr>
              <w:t>RUB</w:t>
            </w:r>
          </w:p>
        </w:tc>
      </w:tr>
      <w:tr w:rsidR="00F003E8" w:rsidRPr="00D208C3" w:rsidTr="00FA2071">
        <w:trPr>
          <w:trHeight w:val="50"/>
        </w:trPr>
        <w:tc>
          <w:tcPr>
            <w:tcW w:w="2518" w:type="dxa"/>
            <w:vAlign w:val="center"/>
          </w:tcPr>
          <w:p w:rsidR="00F003E8" w:rsidRPr="00D208C3" w:rsidRDefault="00F003E8" w:rsidP="00FA2071">
            <w:pPr>
              <w:spacing w:after="0"/>
              <w:contextualSpacing/>
              <w:rPr>
                <w:rFonts w:ascii="Times New Roman" w:hAnsi="Times New Roman"/>
                <w:b/>
                <w:bCs/>
                <w:sz w:val="16"/>
                <w:szCs w:val="16"/>
              </w:rPr>
            </w:pPr>
            <w:r w:rsidRPr="00D208C3">
              <w:rPr>
                <w:rFonts w:ascii="Times New Roman" w:hAnsi="Times New Roman"/>
                <w:b/>
                <w:bCs/>
                <w:sz w:val="16"/>
                <w:szCs w:val="16"/>
              </w:rPr>
              <w:t>Расходные операции</w:t>
            </w:r>
          </w:p>
        </w:tc>
        <w:tc>
          <w:tcPr>
            <w:tcW w:w="7655" w:type="dxa"/>
            <w:gridSpan w:val="3"/>
            <w:vAlign w:val="center"/>
          </w:tcPr>
          <w:p w:rsidR="00F003E8" w:rsidRPr="00D208C3" w:rsidRDefault="00F003E8" w:rsidP="00FA2071">
            <w:pPr>
              <w:tabs>
                <w:tab w:val="left" w:pos="321"/>
              </w:tabs>
              <w:spacing w:after="0" w:line="240" w:lineRule="auto"/>
              <w:contextualSpacing/>
              <w:rPr>
                <w:rFonts w:ascii="Times New Roman" w:hAnsi="Times New Roman"/>
                <w:sz w:val="16"/>
                <w:szCs w:val="16"/>
              </w:rPr>
            </w:pPr>
            <w:r w:rsidRPr="00D208C3">
              <w:rPr>
                <w:rFonts w:ascii="Times New Roman" w:hAnsi="Times New Roman"/>
                <w:bCs/>
                <w:iCs/>
                <w:sz w:val="16"/>
                <w:szCs w:val="16"/>
              </w:rPr>
              <w:t>Не предусмотрен</w:t>
            </w:r>
            <w:r>
              <w:rPr>
                <w:rFonts w:ascii="Times New Roman" w:hAnsi="Times New Roman"/>
                <w:bCs/>
                <w:iCs/>
                <w:sz w:val="16"/>
                <w:szCs w:val="16"/>
              </w:rPr>
              <w:t>ы</w:t>
            </w:r>
          </w:p>
        </w:tc>
      </w:tr>
      <w:tr w:rsidR="00F003E8" w:rsidRPr="00D208C3" w:rsidTr="00FA2071">
        <w:trPr>
          <w:trHeight w:val="82"/>
        </w:trPr>
        <w:tc>
          <w:tcPr>
            <w:tcW w:w="10173" w:type="dxa"/>
            <w:gridSpan w:val="4"/>
            <w:shd w:val="clear" w:color="auto" w:fill="D9D9D9" w:themeFill="background1" w:themeFillShade="D9"/>
            <w:vAlign w:val="center"/>
          </w:tcPr>
          <w:p w:rsidR="00F003E8" w:rsidRPr="00E43DC0" w:rsidRDefault="00F003E8" w:rsidP="00FA2071">
            <w:pPr>
              <w:tabs>
                <w:tab w:val="left" w:pos="321"/>
              </w:tabs>
              <w:spacing w:after="0" w:line="240" w:lineRule="auto"/>
              <w:contextualSpacing/>
              <w:jc w:val="center"/>
              <w:rPr>
                <w:rFonts w:ascii="Times New Roman" w:hAnsi="Times New Roman"/>
                <w:b/>
                <w:bCs/>
                <w:iCs/>
                <w:sz w:val="16"/>
                <w:szCs w:val="16"/>
                <w:highlight w:val="lightGray"/>
              </w:rPr>
            </w:pPr>
            <w:r w:rsidRPr="00E43DC0">
              <w:rPr>
                <w:rFonts w:ascii="Times New Roman" w:hAnsi="Times New Roman"/>
                <w:b/>
                <w:bCs/>
                <w:iCs/>
                <w:sz w:val="16"/>
                <w:szCs w:val="16"/>
                <w:highlight w:val="lightGray"/>
              </w:rPr>
              <w:t>ПРЕКРАЩЕНИЕ ДОГОВОРА ВКЛАДА</w:t>
            </w:r>
          </w:p>
        </w:tc>
      </w:tr>
      <w:tr w:rsidR="00F003E8" w:rsidRPr="00D208C3" w:rsidTr="00FA2071">
        <w:trPr>
          <w:trHeight w:val="313"/>
        </w:trPr>
        <w:tc>
          <w:tcPr>
            <w:tcW w:w="2518" w:type="dxa"/>
            <w:vAlign w:val="center"/>
          </w:tcPr>
          <w:p w:rsidR="00F003E8" w:rsidRPr="00D208C3" w:rsidRDefault="00F003E8" w:rsidP="00FA2071">
            <w:pPr>
              <w:spacing w:after="0"/>
              <w:contextualSpacing/>
              <w:rPr>
                <w:rFonts w:ascii="Times New Roman" w:hAnsi="Times New Roman"/>
                <w:b/>
                <w:bCs/>
                <w:sz w:val="16"/>
                <w:szCs w:val="16"/>
              </w:rPr>
            </w:pPr>
            <w:r w:rsidRPr="00366B97">
              <w:rPr>
                <w:rFonts w:ascii="Times New Roman" w:hAnsi="Times New Roman"/>
                <w:b/>
                <w:bCs/>
                <w:sz w:val="16"/>
                <w:szCs w:val="16"/>
              </w:rPr>
              <w:t xml:space="preserve">Досрочное расторжение </w:t>
            </w:r>
            <w:r>
              <w:rPr>
                <w:rFonts w:ascii="Times New Roman" w:hAnsi="Times New Roman"/>
                <w:b/>
                <w:bCs/>
                <w:sz w:val="16"/>
                <w:szCs w:val="16"/>
              </w:rPr>
              <w:t xml:space="preserve">Договора </w:t>
            </w:r>
            <w:r w:rsidRPr="00366B97">
              <w:rPr>
                <w:rFonts w:ascii="Times New Roman" w:hAnsi="Times New Roman"/>
                <w:b/>
                <w:bCs/>
                <w:sz w:val="16"/>
                <w:szCs w:val="16"/>
              </w:rPr>
              <w:t>вклада</w:t>
            </w:r>
          </w:p>
        </w:tc>
        <w:tc>
          <w:tcPr>
            <w:tcW w:w="7655" w:type="dxa"/>
            <w:gridSpan w:val="3"/>
            <w:vAlign w:val="center"/>
          </w:tcPr>
          <w:p w:rsidR="00F003E8" w:rsidRPr="008127B1" w:rsidRDefault="00F003E8" w:rsidP="00FA2071">
            <w:pPr>
              <w:tabs>
                <w:tab w:val="left" w:pos="321"/>
              </w:tabs>
              <w:spacing w:after="0" w:line="240" w:lineRule="auto"/>
              <w:jc w:val="both"/>
              <w:rPr>
                <w:rFonts w:ascii="Times New Roman" w:hAnsi="Times New Roman"/>
                <w:bCs/>
                <w:iCs/>
                <w:sz w:val="16"/>
                <w:szCs w:val="16"/>
              </w:rPr>
            </w:pPr>
            <w:r w:rsidRPr="0024171B">
              <w:rPr>
                <w:rFonts w:ascii="Times New Roman" w:hAnsi="Times New Roman"/>
                <w:bCs/>
                <w:iCs/>
                <w:sz w:val="16"/>
                <w:szCs w:val="16"/>
              </w:rPr>
              <w:t xml:space="preserve">По ставке «До востребования» путем безналичного перечисления денежных средств на </w:t>
            </w:r>
            <w:r w:rsidRPr="00671AE8">
              <w:rPr>
                <w:rFonts w:ascii="Times New Roman" w:hAnsi="Times New Roman"/>
                <w:bCs/>
                <w:iCs/>
                <w:sz w:val="16"/>
                <w:szCs w:val="16"/>
              </w:rPr>
              <w:t>текущий счет</w:t>
            </w:r>
            <w:r w:rsidRPr="0024171B">
              <w:rPr>
                <w:rFonts w:ascii="Times New Roman" w:hAnsi="Times New Roman"/>
                <w:bCs/>
                <w:iCs/>
                <w:sz w:val="16"/>
                <w:szCs w:val="16"/>
              </w:rPr>
              <w:t>/ специальный карточный счет</w:t>
            </w:r>
            <w:r w:rsidRPr="008127B1">
              <w:rPr>
                <w:rFonts w:ascii="Times New Roman" w:hAnsi="Times New Roman"/>
                <w:bCs/>
                <w:iCs/>
                <w:sz w:val="16"/>
                <w:szCs w:val="16"/>
              </w:rPr>
              <w:t xml:space="preserve"> Вкладчика в валюте Вклада, открытый в Банке.</w:t>
            </w:r>
          </w:p>
        </w:tc>
      </w:tr>
      <w:tr w:rsidR="00F003E8" w:rsidRPr="00D208C3" w:rsidTr="00FA2071">
        <w:trPr>
          <w:trHeight w:val="163"/>
        </w:trPr>
        <w:tc>
          <w:tcPr>
            <w:tcW w:w="2518" w:type="dxa"/>
            <w:vAlign w:val="center"/>
          </w:tcPr>
          <w:p w:rsidR="00F003E8" w:rsidRPr="00D208C3" w:rsidRDefault="00F003E8" w:rsidP="00FA2071">
            <w:pPr>
              <w:spacing w:after="0"/>
              <w:contextualSpacing/>
              <w:rPr>
                <w:rFonts w:ascii="Times New Roman" w:hAnsi="Times New Roman"/>
                <w:b/>
                <w:bCs/>
                <w:sz w:val="16"/>
                <w:szCs w:val="16"/>
              </w:rPr>
            </w:pPr>
            <w:r w:rsidRPr="00D208C3">
              <w:rPr>
                <w:rFonts w:ascii="Times New Roman" w:hAnsi="Times New Roman"/>
                <w:b/>
                <w:bCs/>
                <w:sz w:val="16"/>
                <w:szCs w:val="16"/>
              </w:rPr>
              <w:t>Если срок вклада закончился</w:t>
            </w:r>
          </w:p>
        </w:tc>
        <w:tc>
          <w:tcPr>
            <w:tcW w:w="7655" w:type="dxa"/>
            <w:gridSpan w:val="3"/>
            <w:vAlign w:val="center"/>
          </w:tcPr>
          <w:p w:rsidR="00F003E8" w:rsidRPr="0057766C" w:rsidRDefault="00F003E8" w:rsidP="00FA2071">
            <w:pPr>
              <w:tabs>
                <w:tab w:val="left" w:pos="321"/>
              </w:tabs>
              <w:spacing w:after="0" w:line="240" w:lineRule="auto"/>
              <w:contextualSpacing/>
              <w:jc w:val="both"/>
              <w:rPr>
                <w:rFonts w:ascii="Times New Roman" w:hAnsi="Times New Roman"/>
                <w:bCs/>
                <w:iCs/>
                <w:sz w:val="16"/>
                <w:szCs w:val="16"/>
              </w:rPr>
            </w:pPr>
            <w:r w:rsidRPr="0024171B">
              <w:rPr>
                <w:rFonts w:ascii="Times New Roman" w:hAnsi="Times New Roman"/>
                <w:bCs/>
                <w:iCs/>
                <w:sz w:val="16"/>
                <w:szCs w:val="16"/>
              </w:rPr>
              <w:t>Возврат Вклада по истечени</w:t>
            </w:r>
            <w:r>
              <w:rPr>
                <w:rFonts w:ascii="Times New Roman" w:hAnsi="Times New Roman"/>
                <w:bCs/>
                <w:iCs/>
                <w:sz w:val="16"/>
                <w:szCs w:val="16"/>
              </w:rPr>
              <w:t>и</w:t>
            </w:r>
            <w:r w:rsidRPr="0024171B">
              <w:rPr>
                <w:rFonts w:ascii="Times New Roman" w:hAnsi="Times New Roman"/>
                <w:bCs/>
                <w:iCs/>
                <w:sz w:val="16"/>
                <w:szCs w:val="16"/>
              </w:rPr>
              <w:t xml:space="preserve"> срока размещения Вклада осуществляется путем безналичного перечисления денежных средств </w:t>
            </w:r>
            <w:r w:rsidRPr="00671AE8">
              <w:rPr>
                <w:rFonts w:ascii="Times New Roman" w:hAnsi="Times New Roman"/>
                <w:bCs/>
                <w:iCs/>
                <w:sz w:val="16"/>
                <w:szCs w:val="16"/>
              </w:rPr>
              <w:t>на текущий счет/ специальный карточный счет Вкладчика</w:t>
            </w:r>
            <w:r w:rsidRPr="0024171B">
              <w:rPr>
                <w:rFonts w:ascii="Times New Roman" w:hAnsi="Times New Roman"/>
                <w:bCs/>
                <w:iCs/>
                <w:sz w:val="16"/>
                <w:szCs w:val="16"/>
              </w:rPr>
              <w:t xml:space="preserve"> в валюте Вклада, </w:t>
            </w:r>
            <w:r w:rsidRPr="008127B1">
              <w:rPr>
                <w:rFonts w:ascii="Times New Roman" w:hAnsi="Times New Roman"/>
                <w:bCs/>
                <w:iCs/>
                <w:sz w:val="16"/>
                <w:szCs w:val="16"/>
              </w:rPr>
              <w:t xml:space="preserve">открытый </w:t>
            </w:r>
            <w:r w:rsidRPr="00B9119F">
              <w:rPr>
                <w:rFonts w:ascii="Times New Roman" w:hAnsi="Times New Roman"/>
                <w:bCs/>
                <w:iCs/>
                <w:sz w:val="16"/>
                <w:szCs w:val="16"/>
              </w:rPr>
              <w:t>в Банке.</w:t>
            </w:r>
          </w:p>
          <w:p w:rsidR="00F003E8" w:rsidRPr="000E7E3F" w:rsidRDefault="00F003E8" w:rsidP="00FA2071">
            <w:pPr>
              <w:tabs>
                <w:tab w:val="left" w:pos="321"/>
              </w:tabs>
              <w:spacing w:after="0" w:line="240" w:lineRule="auto"/>
              <w:contextualSpacing/>
              <w:jc w:val="both"/>
              <w:rPr>
                <w:rFonts w:ascii="Times New Roman" w:hAnsi="Times New Roman"/>
                <w:bCs/>
                <w:iCs/>
                <w:sz w:val="16"/>
                <w:szCs w:val="16"/>
              </w:rPr>
            </w:pPr>
            <w:r w:rsidRPr="000E7E3F">
              <w:rPr>
                <w:rFonts w:ascii="Times New Roman" w:hAnsi="Times New Roman"/>
                <w:bCs/>
                <w:iCs/>
                <w:sz w:val="16"/>
                <w:szCs w:val="16"/>
              </w:rPr>
              <w:t xml:space="preserve">Пролонгация </w:t>
            </w:r>
            <w:r>
              <w:rPr>
                <w:rFonts w:ascii="Times New Roman" w:hAnsi="Times New Roman"/>
                <w:bCs/>
                <w:iCs/>
                <w:sz w:val="16"/>
                <w:szCs w:val="16"/>
              </w:rPr>
              <w:t xml:space="preserve">договора Вклада </w:t>
            </w:r>
            <w:r w:rsidRPr="000E7E3F">
              <w:rPr>
                <w:rFonts w:ascii="Times New Roman" w:hAnsi="Times New Roman"/>
                <w:bCs/>
                <w:iCs/>
                <w:sz w:val="16"/>
                <w:szCs w:val="16"/>
              </w:rPr>
              <w:t>не предусмотрена.</w:t>
            </w:r>
          </w:p>
        </w:tc>
      </w:tr>
      <w:tr w:rsidR="00F003E8" w:rsidRPr="00D208C3" w:rsidTr="00FA2071">
        <w:trPr>
          <w:trHeight w:val="170"/>
        </w:trPr>
        <w:tc>
          <w:tcPr>
            <w:tcW w:w="10173" w:type="dxa"/>
            <w:gridSpan w:val="4"/>
            <w:shd w:val="clear" w:color="auto" w:fill="D9D9D9" w:themeFill="background1" w:themeFillShade="D9"/>
            <w:vAlign w:val="center"/>
          </w:tcPr>
          <w:p w:rsidR="00F003E8" w:rsidRPr="00D208C3" w:rsidRDefault="00F003E8" w:rsidP="00FA2071">
            <w:pPr>
              <w:tabs>
                <w:tab w:val="left" w:pos="321"/>
              </w:tabs>
              <w:spacing w:after="0" w:line="240" w:lineRule="auto"/>
              <w:contextualSpacing/>
              <w:jc w:val="center"/>
              <w:rPr>
                <w:rFonts w:ascii="Times New Roman" w:hAnsi="Times New Roman"/>
                <w:b/>
                <w:bCs/>
                <w:iCs/>
                <w:sz w:val="16"/>
                <w:szCs w:val="16"/>
              </w:rPr>
            </w:pPr>
            <w:r w:rsidRPr="00D208C3">
              <w:rPr>
                <w:rFonts w:ascii="Times New Roman" w:hAnsi="Times New Roman"/>
                <w:b/>
                <w:bCs/>
                <w:iCs/>
                <w:sz w:val="16"/>
                <w:szCs w:val="16"/>
              </w:rPr>
              <w:t>РАСХОДЫ ПОТРЕБИТЕЛЯ</w:t>
            </w:r>
          </w:p>
        </w:tc>
      </w:tr>
      <w:tr w:rsidR="00F003E8" w:rsidRPr="00D208C3" w:rsidTr="00FA2071">
        <w:trPr>
          <w:trHeight w:val="130"/>
        </w:trPr>
        <w:tc>
          <w:tcPr>
            <w:tcW w:w="10173" w:type="dxa"/>
            <w:gridSpan w:val="4"/>
            <w:vAlign w:val="center"/>
          </w:tcPr>
          <w:p w:rsidR="00F003E8" w:rsidRDefault="00F003E8" w:rsidP="00FA2071">
            <w:pPr>
              <w:spacing w:after="0" w:line="240" w:lineRule="auto"/>
              <w:contextualSpacing/>
              <w:jc w:val="both"/>
              <w:rPr>
                <w:rFonts w:ascii="Times New Roman" w:hAnsi="Times New Roman"/>
                <w:sz w:val="16"/>
                <w:szCs w:val="16"/>
              </w:rPr>
            </w:pPr>
            <w:r w:rsidRPr="007A6381">
              <w:rPr>
                <w:rFonts w:ascii="Times New Roman" w:hAnsi="Times New Roman"/>
                <w:sz w:val="16"/>
                <w:szCs w:val="16"/>
              </w:rPr>
              <w:t>Для Клиента отсутствуют комиссии и расходы в связи с открытием Вклада.</w:t>
            </w:r>
          </w:p>
          <w:p w:rsidR="00F003E8" w:rsidRDefault="00F003E8" w:rsidP="00FA2071">
            <w:pPr>
              <w:spacing w:after="0" w:line="240" w:lineRule="auto"/>
              <w:contextualSpacing/>
              <w:jc w:val="both"/>
              <w:rPr>
                <w:rFonts w:ascii="Times New Roman" w:hAnsi="Times New Roman"/>
                <w:sz w:val="16"/>
                <w:szCs w:val="16"/>
              </w:rPr>
            </w:pPr>
            <w:r>
              <w:rPr>
                <w:rFonts w:ascii="Times New Roman" w:hAnsi="Times New Roman"/>
                <w:sz w:val="16"/>
                <w:szCs w:val="16"/>
              </w:rPr>
              <w:t xml:space="preserve">Расходы Клиента могут возникнуть в связи с приобретением дополнительных услуг Банка. </w:t>
            </w:r>
          </w:p>
          <w:p w:rsidR="00F003E8" w:rsidRPr="00D208C3" w:rsidRDefault="00F003E8" w:rsidP="00FA2071">
            <w:pPr>
              <w:spacing w:after="0"/>
              <w:contextualSpacing/>
              <w:jc w:val="both"/>
              <w:rPr>
                <w:rFonts w:ascii="Times New Roman" w:hAnsi="Times New Roman"/>
                <w:sz w:val="16"/>
                <w:szCs w:val="16"/>
              </w:rPr>
            </w:pPr>
            <w:r>
              <w:rPr>
                <w:rFonts w:ascii="Times New Roman" w:hAnsi="Times New Roman"/>
                <w:sz w:val="16"/>
                <w:szCs w:val="16"/>
              </w:rPr>
              <w:t>С Тарифами Банка можно ознакомиться в офисах Банка или на официальном сайте Банка.</w:t>
            </w:r>
          </w:p>
        </w:tc>
      </w:tr>
      <w:tr w:rsidR="00F003E8" w:rsidRPr="00D208C3" w:rsidTr="00FA2071">
        <w:trPr>
          <w:trHeight w:val="53"/>
        </w:trPr>
        <w:tc>
          <w:tcPr>
            <w:tcW w:w="10173" w:type="dxa"/>
            <w:gridSpan w:val="4"/>
            <w:shd w:val="clear" w:color="auto" w:fill="D9D9D9" w:themeFill="background1" w:themeFillShade="D9"/>
            <w:vAlign w:val="center"/>
          </w:tcPr>
          <w:p w:rsidR="00F003E8" w:rsidRPr="00D208C3" w:rsidRDefault="00F003E8" w:rsidP="00FA2071">
            <w:pPr>
              <w:spacing w:after="0"/>
              <w:contextualSpacing/>
              <w:jc w:val="center"/>
              <w:rPr>
                <w:rFonts w:ascii="Times New Roman" w:hAnsi="Times New Roman"/>
                <w:b/>
                <w:bCs/>
                <w:iCs/>
                <w:sz w:val="16"/>
                <w:szCs w:val="16"/>
              </w:rPr>
            </w:pPr>
            <w:r w:rsidRPr="00D208C3">
              <w:rPr>
                <w:rFonts w:ascii="Times New Roman" w:hAnsi="Times New Roman"/>
                <w:b/>
                <w:bCs/>
                <w:iCs/>
                <w:sz w:val="16"/>
                <w:szCs w:val="16"/>
              </w:rPr>
              <w:t>СТРАХОВАНИЕ ДЕНЕЖНЫХ СРЕДСТВ, РАЗМЕЩЕННЫХ ВО ВКЛАД</w:t>
            </w:r>
          </w:p>
        </w:tc>
      </w:tr>
      <w:tr w:rsidR="00F003E8" w:rsidRPr="00D208C3" w:rsidTr="00FA2071">
        <w:tc>
          <w:tcPr>
            <w:tcW w:w="10173" w:type="dxa"/>
            <w:gridSpan w:val="4"/>
            <w:vAlign w:val="center"/>
          </w:tcPr>
          <w:p w:rsidR="00F003E8" w:rsidRPr="00D208C3" w:rsidRDefault="00F003E8" w:rsidP="00FA2071">
            <w:pPr>
              <w:spacing w:after="0" w:line="240" w:lineRule="auto"/>
              <w:contextualSpacing/>
              <w:jc w:val="both"/>
              <w:rPr>
                <w:rFonts w:ascii="Times New Roman" w:hAnsi="Times New Roman"/>
                <w:sz w:val="16"/>
                <w:szCs w:val="16"/>
              </w:rPr>
            </w:pPr>
            <w:r w:rsidRPr="00D208C3">
              <w:rPr>
                <w:rFonts w:ascii="Times New Roman" w:hAnsi="Times New Roman"/>
                <w:sz w:val="16"/>
                <w:szCs w:val="16"/>
              </w:rPr>
              <w:t xml:space="preserve">В соответствии с п. 2 ст. 11 Федерального закона от 23.12.2003 № 177-ФЗ «О страховании </w:t>
            </w:r>
            <w:r>
              <w:rPr>
                <w:rFonts w:ascii="Times New Roman" w:hAnsi="Times New Roman"/>
                <w:sz w:val="16"/>
                <w:szCs w:val="16"/>
              </w:rPr>
              <w:t>в</w:t>
            </w:r>
            <w:r w:rsidRPr="00D208C3">
              <w:rPr>
                <w:rFonts w:ascii="Times New Roman" w:hAnsi="Times New Roman"/>
                <w:sz w:val="16"/>
                <w:szCs w:val="16"/>
              </w:rPr>
              <w:t>кладов в банках Российской Федерации»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w:t>
            </w:r>
            <w:r w:rsidRPr="00396A7B">
              <w:rPr>
                <w:rFonts w:ascii="Times New Roman" w:hAnsi="Times New Roman"/>
                <w:sz w:val="16"/>
                <w:szCs w:val="16"/>
              </w:rPr>
              <w:t xml:space="preserve"> (либо в пределах эквивалентной суммы в иностранной валюте на день наступления страхового случая)</w:t>
            </w:r>
            <w:r>
              <w:t xml:space="preserve"> </w:t>
            </w:r>
            <w:r w:rsidRPr="000B7D02">
              <w:rPr>
                <w:rFonts w:ascii="Times New Roman" w:hAnsi="Times New Roman"/>
                <w:sz w:val="16"/>
                <w:szCs w:val="16"/>
              </w:rPr>
              <w:t>по всем счетам в Банке</w:t>
            </w:r>
            <w:r>
              <w:rPr>
                <w:rFonts w:ascii="Times New Roman" w:hAnsi="Times New Roman"/>
                <w:sz w:val="16"/>
                <w:szCs w:val="16"/>
              </w:rPr>
              <w:t>,</w:t>
            </w:r>
            <w:r w:rsidRPr="00D208C3">
              <w:rPr>
                <w:rFonts w:ascii="Times New Roman" w:hAnsi="Times New Roman"/>
                <w:sz w:val="16"/>
                <w:szCs w:val="16"/>
              </w:rPr>
              <w:t xml:space="preserve"> если иное не установлено настоящим Федеральным законом.</w:t>
            </w:r>
          </w:p>
        </w:tc>
      </w:tr>
      <w:tr w:rsidR="00F003E8" w:rsidRPr="00D208C3" w:rsidTr="00FA2071">
        <w:trPr>
          <w:trHeight w:val="102"/>
        </w:trPr>
        <w:tc>
          <w:tcPr>
            <w:tcW w:w="10173" w:type="dxa"/>
            <w:gridSpan w:val="4"/>
            <w:shd w:val="clear" w:color="auto" w:fill="D9D9D9" w:themeFill="background1" w:themeFillShade="D9"/>
            <w:vAlign w:val="center"/>
          </w:tcPr>
          <w:p w:rsidR="00F003E8" w:rsidRPr="00D208C3" w:rsidRDefault="00F003E8" w:rsidP="00FA2071">
            <w:pPr>
              <w:pStyle w:val="3"/>
              <w:contextualSpacing/>
              <w:jc w:val="center"/>
              <w:rPr>
                <w:b/>
                <w:i w:val="0"/>
                <w:color w:val="auto"/>
                <w:sz w:val="16"/>
                <w:szCs w:val="16"/>
                <w:lang w:val="ru-RU" w:eastAsia="ru-RU"/>
              </w:rPr>
            </w:pPr>
            <w:r w:rsidRPr="00D208C3">
              <w:rPr>
                <w:b/>
                <w:i w:val="0"/>
                <w:iCs w:val="0"/>
                <w:color w:val="auto"/>
                <w:sz w:val="16"/>
                <w:szCs w:val="16"/>
                <w:lang w:val="ru-RU" w:eastAsia="ru-RU"/>
              </w:rPr>
              <w:t>ОБРАЩАЕМ ВНИМАНИЕ</w:t>
            </w:r>
          </w:p>
        </w:tc>
      </w:tr>
      <w:tr w:rsidR="00F003E8" w:rsidRPr="00D208C3" w:rsidTr="00FA2071">
        <w:trPr>
          <w:trHeight w:val="267"/>
        </w:trPr>
        <w:tc>
          <w:tcPr>
            <w:tcW w:w="10173" w:type="dxa"/>
            <w:gridSpan w:val="4"/>
            <w:vAlign w:val="center"/>
          </w:tcPr>
          <w:p w:rsidR="00F003E8" w:rsidRPr="00366B97" w:rsidRDefault="00F003E8" w:rsidP="00FA2071">
            <w:pPr>
              <w:pStyle w:val="3"/>
              <w:contextualSpacing/>
              <w:rPr>
                <w:i w:val="0"/>
                <w:iCs w:val="0"/>
                <w:color w:val="auto"/>
                <w:sz w:val="16"/>
                <w:szCs w:val="16"/>
                <w:lang w:val="ru-RU" w:eastAsia="ru-RU"/>
              </w:rPr>
            </w:pPr>
            <w:r w:rsidRPr="00366B97">
              <w:rPr>
                <w:i w:val="0"/>
                <w:iCs w:val="0"/>
                <w:color w:val="auto"/>
                <w:sz w:val="16"/>
                <w:szCs w:val="16"/>
                <w:lang w:val="ru-RU" w:eastAsia="ru-RU"/>
              </w:rPr>
              <w:t xml:space="preserve">Банк не в праве в одностороннем порядке (в пределах срока </w:t>
            </w:r>
            <w:r>
              <w:rPr>
                <w:i w:val="0"/>
                <w:iCs w:val="0"/>
                <w:color w:val="auto"/>
                <w:sz w:val="16"/>
                <w:szCs w:val="16"/>
                <w:lang w:val="ru-RU" w:eastAsia="ru-RU"/>
              </w:rPr>
              <w:t>В</w:t>
            </w:r>
            <w:r w:rsidRPr="00366B97">
              <w:rPr>
                <w:i w:val="0"/>
                <w:iCs w:val="0"/>
                <w:color w:val="auto"/>
                <w:sz w:val="16"/>
                <w:szCs w:val="16"/>
                <w:lang w:val="ru-RU" w:eastAsia="ru-RU"/>
              </w:rPr>
              <w:t>клада):</w:t>
            </w:r>
          </w:p>
          <w:p w:rsidR="00F003E8" w:rsidRDefault="00F003E8" w:rsidP="00FA2071">
            <w:pPr>
              <w:pStyle w:val="3"/>
              <w:numPr>
                <w:ilvl w:val="0"/>
                <w:numId w:val="1"/>
              </w:numPr>
              <w:ind w:left="284" w:hanging="284"/>
              <w:contextualSpacing/>
              <w:rPr>
                <w:i w:val="0"/>
                <w:iCs w:val="0"/>
                <w:color w:val="auto"/>
                <w:sz w:val="16"/>
                <w:szCs w:val="16"/>
                <w:lang w:val="ru-RU" w:eastAsia="ru-RU"/>
              </w:rPr>
            </w:pPr>
            <w:r>
              <w:rPr>
                <w:i w:val="0"/>
                <w:iCs w:val="0"/>
                <w:color w:val="auto"/>
                <w:sz w:val="16"/>
                <w:szCs w:val="16"/>
                <w:lang w:val="ru-RU" w:eastAsia="ru-RU"/>
              </w:rPr>
              <w:t>изменять срок действия договора Вклада;</w:t>
            </w:r>
          </w:p>
          <w:p w:rsidR="00F003E8" w:rsidRDefault="00F003E8" w:rsidP="00FA2071">
            <w:pPr>
              <w:pStyle w:val="3"/>
              <w:numPr>
                <w:ilvl w:val="0"/>
                <w:numId w:val="1"/>
              </w:numPr>
              <w:ind w:left="284" w:hanging="284"/>
              <w:contextualSpacing/>
              <w:rPr>
                <w:i w:val="0"/>
                <w:iCs w:val="0"/>
                <w:color w:val="auto"/>
                <w:sz w:val="16"/>
                <w:szCs w:val="16"/>
                <w:lang w:val="ru-RU" w:eastAsia="ru-RU"/>
              </w:rPr>
            </w:pPr>
            <w:r w:rsidRPr="00366B97">
              <w:rPr>
                <w:i w:val="0"/>
                <w:iCs w:val="0"/>
                <w:color w:val="auto"/>
                <w:sz w:val="16"/>
                <w:szCs w:val="16"/>
                <w:lang w:val="ru-RU" w:eastAsia="ru-RU"/>
              </w:rPr>
              <w:t xml:space="preserve">изменять процентную ставку по </w:t>
            </w:r>
            <w:r>
              <w:rPr>
                <w:i w:val="0"/>
                <w:iCs w:val="0"/>
                <w:color w:val="auto"/>
                <w:sz w:val="16"/>
                <w:szCs w:val="16"/>
                <w:lang w:val="ru-RU" w:eastAsia="ru-RU"/>
              </w:rPr>
              <w:t>В</w:t>
            </w:r>
            <w:r w:rsidRPr="00366B97">
              <w:rPr>
                <w:i w:val="0"/>
                <w:iCs w:val="0"/>
                <w:color w:val="auto"/>
                <w:sz w:val="16"/>
                <w:szCs w:val="16"/>
                <w:lang w:val="ru-RU" w:eastAsia="ru-RU"/>
              </w:rPr>
              <w:t>кладу в период действия договора в сторону ее уменьшения</w:t>
            </w:r>
            <w:r>
              <w:rPr>
                <w:i w:val="0"/>
                <w:iCs w:val="0"/>
                <w:color w:val="auto"/>
                <w:sz w:val="16"/>
                <w:szCs w:val="16"/>
                <w:lang w:val="ru-RU" w:eastAsia="ru-RU"/>
              </w:rPr>
              <w:t>.</w:t>
            </w:r>
          </w:p>
          <w:p w:rsidR="00F003E8" w:rsidRPr="00D208C3" w:rsidDel="00B81432" w:rsidRDefault="00F003E8" w:rsidP="00FA2071">
            <w:pPr>
              <w:pStyle w:val="3"/>
              <w:contextualSpacing/>
              <w:rPr>
                <w:i w:val="0"/>
                <w:iCs w:val="0"/>
                <w:color w:val="auto"/>
                <w:sz w:val="16"/>
                <w:szCs w:val="16"/>
                <w:lang w:val="ru-RU" w:eastAsia="ru-RU"/>
              </w:rPr>
            </w:pPr>
            <w:r w:rsidRPr="005421D6">
              <w:rPr>
                <w:i w:val="0"/>
                <w:iCs w:val="0"/>
                <w:color w:val="auto"/>
                <w:sz w:val="16"/>
                <w:szCs w:val="16"/>
                <w:lang w:val="ru-RU" w:eastAsia="ru-RU"/>
              </w:rPr>
              <w:t>Банк в праве прекратить прием Вклада</w:t>
            </w:r>
          </w:p>
        </w:tc>
      </w:tr>
      <w:tr w:rsidR="00F003E8" w:rsidRPr="00D208C3" w:rsidTr="00FA2071">
        <w:trPr>
          <w:trHeight w:val="76"/>
        </w:trPr>
        <w:tc>
          <w:tcPr>
            <w:tcW w:w="10173" w:type="dxa"/>
            <w:gridSpan w:val="4"/>
            <w:shd w:val="clear" w:color="auto" w:fill="D9D9D9" w:themeFill="background1" w:themeFillShade="D9"/>
            <w:vAlign w:val="center"/>
          </w:tcPr>
          <w:p w:rsidR="00F003E8" w:rsidRPr="00D208C3" w:rsidDel="00B81432" w:rsidRDefault="00F003E8" w:rsidP="00FA2071">
            <w:pPr>
              <w:pStyle w:val="3"/>
              <w:contextualSpacing/>
              <w:jc w:val="center"/>
              <w:rPr>
                <w:b/>
                <w:i w:val="0"/>
                <w:iCs w:val="0"/>
                <w:color w:val="auto"/>
                <w:sz w:val="16"/>
                <w:szCs w:val="16"/>
                <w:lang w:val="ru-RU" w:eastAsia="ru-RU"/>
              </w:rPr>
            </w:pPr>
            <w:r w:rsidRPr="00D208C3">
              <w:rPr>
                <w:b/>
                <w:i w:val="0"/>
                <w:iCs w:val="0"/>
                <w:color w:val="auto"/>
                <w:sz w:val="16"/>
                <w:szCs w:val="16"/>
                <w:lang w:val="ru-RU" w:eastAsia="ru-RU"/>
              </w:rPr>
              <w:t>Способы направления обращений в Банк</w:t>
            </w:r>
          </w:p>
        </w:tc>
      </w:tr>
      <w:tr w:rsidR="00F003E8" w:rsidRPr="00D208C3" w:rsidTr="00FA2071">
        <w:trPr>
          <w:trHeight w:val="994"/>
        </w:trPr>
        <w:tc>
          <w:tcPr>
            <w:tcW w:w="10173" w:type="dxa"/>
            <w:gridSpan w:val="4"/>
            <w:vAlign w:val="center"/>
          </w:tcPr>
          <w:p w:rsidR="00F003E8" w:rsidRPr="00367FD6" w:rsidRDefault="00F003E8" w:rsidP="00FA2071">
            <w:pPr>
              <w:pStyle w:val="3"/>
              <w:numPr>
                <w:ilvl w:val="0"/>
                <w:numId w:val="1"/>
              </w:numPr>
              <w:ind w:left="284" w:hanging="284"/>
              <w:contextualSpacing/>
              <w:rPr>
                <w:i w:val="0"/>
                <w:sz w:val="16"/>
                <w:szCs w:val="16"/>
                <w:lang w:val="ru-RU"/>
              </w:rPr>
            </w:pPr>
            <w:r w:rsidRPr="001732EA">
              <w:rPr>
                <w:i w:val="0"/>
                <w:iCs w:val="0"/>
                <w:color w:val="auto"/>
                <w:sz w:val="16"/>
                <w:szCs w:val="16"/>
                <w:lang w:val="ru-RU" w:eastAsia="ru-RU"/>
              </w:rPr>
              <w:t>К</w:t>
            </w:r>
            <w:proofErr w:type="spellStart"/>
            <w:r w:rsidRPr="001732EA">
              <w:rPr>
                <w:i w:val="0"/>
                <w:iCs w:val="0"/>
                <w:color w:val="auto"/>
                <w:sz w:val="16"/>
                <w:szCs w:val="16"/>
                <w:lang w:eastAsia="ru-RU"/>
              </w:rPr>
              <w:t>онтактный</w:t>
            </w:r>
            <w:proofErr w:type="spellEnd"/>
            <w:r w:rsidRPr="00367FD6">
              <w:rPr>
                <w:i w:val="0"/>
                <w:sz w:val="16"/>
                <w:szCs w:val="16"/>
              </w:rPr>
              <w:t xml:space="preserve"> телефон: 8-800-700-92-20</w:t>
            </w:r>
            <w:r>
              <w:rPr>
                <w:i w:val="0"/>
                <w:sz w:val="16"/>
                <w:szCs w:val="16"/>
                <w:lang w:val="ru-RU"/>
              </w:rPr>
              <w:t>;</w:t>
            </w:r>
          </w:p>
          <w:p w:rsidR="00F003E8" w:rsidRDefault="00F003E8" w:rsidP="00FA2071">
            <w:pPr>
              <w:pStyle w:val="3"/>
              <w:numPr>
                <w:ilvl w:val="0"/>
                <w:numId w:val="1"/>
              </w:numPr>
              <w:ind w:left="284" w:hanging="284"/>
              <w:contextualSpacing/>
              <w:rPr>
                <w:i w:val="0"/>
                <w:sz w:val="16"/>
                <w:szCs w:val="16"/>
                <w:lang w:val="ru-RU"/>
              </w:rPr>
            </w:pPr>
            <w:r w:rsidRPr="001732EA">
              <w:rPr>
                <w:i w:val="0"/>
                <w:iCs w:val="0"/>
                <w:color w:val="auto"/>
                <w:sz w:val="16"/>
                <w:szCs w:val="16"/>
                <w:lang w:val="ru-RU" w:eastAsia="ru-RU"/>
              </w:rPr>
              <w:t>Форма</w:t>
            </w:r>
            <w:r>
              <w:rPr>
                <w:i w:val="0"/>
                <w:sz w:val="16"/>
                <w:szCs w:val="16"/>
                <w:lang w:val="ru-RU"/>
              </w:rPr>
              <w:t xml:space="preserve"> обратной связи: </w:t>
            </w:r>
            <w:hyperlink r:id="rId7" w:history="1">
              <w:r w:rsidRPr="00FF4009">
                <w:rPr>
                  <w:rStyle w:val="a3"/>
                  <w:i w:val="0"/>
                  <w:sz w:val="16"/>
                  <w:szCs w:val="16"/>
                  <w:lang w:val="ru-RU"/>
                </w:rPr>
                <w:t>https://solid.ru/mail/</w:t>
              </w:r>
            </w:hyperlink>
            <w:r>
              <w:rPr>
                <w:rStyle w:val="a3"/>
                <w:i w:val="0"/>
                <w:sz w:val="16"/>
                <w:szCs w:val="16"/>
                <w:lang w:val="ru-RU"/>
              </w:rPr>
              <w:t>;</w:t>
            </w:r>
          </w:p>
          <w:p w:rsidR="00F003E8" w:rsidRPr="001732EA" w:rsidRDefault="00F003E8" w:rsidP="00FA2071">
            <w:pPr>
              <w:pStyle w:val="3"/>
              <w:numPr>
                <w:ilvl w:val="0"/>
                <w:numId w:val="1"/>
              </w:numPr>
              <w:ind w:left="284" w:hanging="284"/>
              <w:contextualSpacing/>
              <w:rPr>
                <w:i w:val="0"/>
                <w:iCs w:val="0"/>
                <w:color w:val="auto"/>
                <w:sz w:val="16"/>
                <w:szCs w:val="16"/>
                <w:lang w:eastAsia="ru-RU"/>
              </w:rPr>
            </w:pPr>
            <w:r w:rsidRPr="001732EA">
              <w:rPr>
                <w:i w:val="0"/>
                <w:iCs w:val="0"/>
                <w:color w:val="auto"/>
                <w:sz w:val="16"/>
                <w:szCs w:val="16"/>
                <w:lang w:eastAsia="ru-RU"/>
              </w:rPr>
              <w:t xml:space="preserve">Чат Банка через системы ДБО Банка: «Интернет-Банк»/ «Солидарность Онлайн»; </w:t>
            </w:r>
          </w:p>
          <w:p w:rsidR="00F003E8" w:rsidRPr="001732EA" w:rsidRDefault="00F003E8" w:rsidP="00FA2071">
            <w:pPr>
              <w:pStyle w:val="3"/>
              <w:numPr>
                <w:ilvl w:val="0"/>
                <w:numId w:val="1"/>
              </w:numPr>
              <w:ind w:left="284" w:hanging="284"/>
              <w:contextualSpacing/>
              <w:rPr>
                <w:i w:val="0"/>
                <w:iCs w:val="0"/>
                <w:color w:val="auto"/>
                <w:sz w:val="16"/>
                <w:szCs w:val="16"/>
                <w:lang w:eastAsia="ru-RU"/>
              </w:rPr>
            </w:pPr>
            <w:r w:rsidRPr="001732EA">
              <w:rPr>
                <w:i w:val="0"/>
                <w:iCs w:val="0"/>
                <w:color w:val="auto"/>
                <w:sz w:val="16"/>
                <w:szCs w:val="16"/>
                <w:lang w:eastAsia="ru-RU"/>
              </w:rPr>
              <w:t>Лично в офис Банка;</w:t>
            </w:r>
          </w:p>
          <w:p w:rsidR="00F003E8" w:rsidRPr="00D208C3" w:rsidRDefault="00F003E8" w:rsidP="00FA2071">
            <w:pPr>
              <w:pStyle w:val="3"/>
              <w:numPr>
                <w:ilvl w:val="0"/>
                <w:numId w:val="1"/>
              </w:numPr>
              <w:ind w:left="284" w:hanging="284"/>
              <w:contextualSpacing/>
              <w:rPr>
                <w:i w:val="0"/>
                <w:sz w:val="16"/>
                <w:szCs w:val="16"/>
                <w:lang w:val="ru-RU"/>
              </w:rPr>
            </w:pPr>
            <w:r w:rsidRPr="001732EA">
              <w:rPr>
                <w:i w:val="0"/>
                <w:iCs w:val="0"/>
                <w:color w:val="auto"/>
                <w:sz w:val="16"/>
                <w:szCs w:val="16"/>
                <w:lang w:eastAsia="ru-RU"/>
              </w:rPr>
              <w:t>Почтовы</w:t>
            </w:r>
            <w:r>
              <w:rPr>
                <w:i w:val="0"/>
                <w:iCs w:val="0"/>
                <w:color w:val="auto"/>
                <w:sz w:val="16"/>
                <w:szCs w:val="16"/>
                <w:lang w:eastAsia="ru-RU"/>
              </w:rPr>
              <w:t>е</w:t>
            </w:r>
            <w:r w:rsidRPr="001732EA">
              <w:rPr>
                <w:i w:val="0"/>
                <w:iCs w:val="0"/>
                <w:color w:val="auto"/>
                <w:sz w:val="16"/>
                <w:szCs w:val="16"/>
                <w:lang w:eastAsia="ru-RU"/>
              </w:rPr>
              <w:t xml:space="preserve"> отправления через организации почтовой связи.</w:t>
            </w:r>
          </w:p>
        </w:tc>
      </w:tr>
    </w:tbl>
    <w:p w:rsidR="00F003E8" w:rsidRPr="005B3BD0" w:rsidRDefault="00F003E8" w:rsidP="00F003E8">
      <w:pPr>
        <w:rPr>
          <w:rFonts w:ascii="Times New Roman" w:hAnsi="Times New Roman"/>
          <w:sz w:val="20"/>
          <w:szCs w:val="20"/>
        </w:rPr>
      </w:pPr>
    </w:p>
    <w:p w:rsidR="009113BD" w:rsidRDefault="009113BD"/>
    <w:sectPr w:rsidR="009113BD" w:rsidSect="00F003E8">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5544"/>
    <w:multiLevelType w:val="hybridMultilevel"/>
    <w:tmpl w:val="813EC266"/>
    <w:lvl w:ilvl="0" w:tplc="713A3E7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E8"/>
    <w:rsid w:val="009113BD"/>
    <w:rsid w:val="00F0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E72F1-608C-472E-8EDE-77C5035E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3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003E8"/>
    <w:pPr>
      <w:spacing w:after="0" w:line="240" w:lineRule="auto"/>
      <w:ind w:right="-73"/>
      <w:jc w:val="both"/>
    </w:pPr>
    <w:rPr>
      <w:rFonts w:ascii="Times New Roman" w:eastAsia="Times New Roman" w:hAnsi="Times New Roman"/>
      <w:i/>
      <w:iCs/>
      <w:color w:val="000000"/>
      <w:sz w:val="20"/>
      <w:szCs w:val="24"/>
      <w:lang w:val="x-none" w:eastAsia="x-none"/>
    </w:rPr>
  </w:style>
  <w:style w:type="character" w:customStyle="1" w:styleId="30">
    <w:name w:val="Основной текст 3 Знак"/>
    <w:basedOn w:val="a0"/>
    <w:link w:val="3"/>
    <w:rsid w:val="00F003E8"/>
    <w:rPr>
      <w:rFonts w:ascii="Times New Roman" w:eastAsia="Times New Roman" w:hAnsi="Times New Roman" w:cs="Times New Roman"/>
      <w:i/>
      <w:iCs/>
      <w:color w:val="000000"/>
      <w:sz w:val="20"/>
      <w:szCs w:val="24"/>
      <w:lang w:val="x-none" w:eastAsia="x-none"/>
    </w:rPr>
  </w:style>
  <w:style w:type="character" w:styleId="a3">
    <w:name w:val="Hyperlink"/>
    <w:basedOn w:val="a0"/>
    <w:uiPriority w:val="99"/>
    <w:unhideWhenUsed/>
    <w:rsid w:val="00F00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lid.ru/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Олеся Валентиновна</dc:creator>
  <cp:keywords/>
  <dc:description/>
  <cp:lastModifiedBy>Сидорова Олеся Валентиновна</cp:lastModifiedBy>
  <cp:revision>1</cp:revision>
  <dcterms:created xsi:type="dcterms:W3CDTF">2022-03-02T18:40:00Z</dcterms:created>
  <dcterms:modified xsi:type="dcterms:W3CDTF">2022-03-02T18:40:00Z</dcterms:modified>
</cp:coreProperties>
</file>