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427" w:rsidRPr="0000543D" w:rsidRDefault="00883427" w:rsidP="00883427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к Приказу № </w:t>
      </w:r>
      <w:r w:rsidR="003E33D8">
        <w:rPr>
          <w:rFonts w:ascii="Times New Roman" w:hAnsi="Times New Roman"/>
          <w:sz w:val="18"/>
          <w:szCs w:val="18"/>
        </w:rPr>
        <w:t xml:space="preserve">563 </w:t>
      </w:r>
      <w:r>
        <w:rPr>
          <w:rFonts w:ascii="Times New Roman" w:hAnsi="Times New Roman"/>
          <w:sz w:val="18"/>
          <w:szCs w:val="18"/>
        </w:rPr>
        <w:t xml:space="preserve"> от «</w:t>
      </w:r>
      <w:r w:rsidR="003E33D8">
        <w:rPr>
          <w:rFonts w:ascii="Times New Roman" w:hAnsi="Times New Roman"/>
          <w:sz w:val="18"/>
          <w:szCs w:val="18"/>
        </w:rPr>
        <w:t>28</w:t>
      </w:r>
      <w:r w:rsidRPr="0000543D">
        <w:rPr>
          <w:rFonts w:ascii="Times New Roman" w:hAnsi="Times New Roman"/>
          <w:sz w:val="18"/>
          <w:szCs w:val="18"/>
        </w:rPr>
        <w:t xml:space="preserve">» </w:t>
      </w:r>
      <w:r w:rsidR="003E33D8">
        <w:rPr>
          <w:rFonts w:ascii="Times New Roman" w:hAnsi="Times New Roman"/>
          <w:sz w:val="18"/>
          <w:szCs w:val="18"/>
        </w:rPr>
        <w:t xml:space="preserve"> октября </w:t>
      </w:r>
      <w:r w:rsidRPr="0000543D">
        <w:rPr>
          <w:rFonts w:ascii="Times New Roman" w:hAnsi="Times New Roman"/>
          <w:sz w:val="18"/>
          <w:szCs w:val="18"/>
        </w:rPr>
        <w:t>202</w:t>
      </w:r>
      <w:r>
        <w:rPr>
          <w:rFonts w:ascii="Times New Roman" w:hAnsi="Times New Roman"/>
          <w:sz w:val="18"/>
          <w:szCs w:val="18"/>
        </w:rPr>
        <w:t>1</w:t>
      </w:r>
      <w:r w:rsidRPr="0000543D">
        <w:rPr>
          <w:rFonts w:ascii="Times New Roman" w:hAnsi="Times New Roman"/>
          <w:sz w:val="18"/>
          <w:szCs w:val="18"/>
        </w:rPr>
        <w:t xml:space="preserve"> г.</w:t>
      </w:r>
    </w:p>
    <w:p w:rsidR="00883427" w:rsidRDefault="00883427" w:rsidP="00D33EC2">
      <w:pPr>
        <w:autoSpaceDE w:val="0"/>
        <w:autoSpaceDN w:val="0"/>
        <w:adjustRightInd w:val="0"/>
        <w:spacing w:after="0" w:line="240" w:lineRule="auto"/>
        <w:ind w:left="2835" w:right="-284"/>
        <w:contextualSpacing/>
        <w:rPr>
          <w:rFonts w:ascii="Times New Roman" w:hAnsi="Times New Roman"/>
          <w:b/>
        </w:rPr>
      </w:pPr>
    </w:p>
    <w:p w:rsidR="00742AE2" w:rsidRPr="00D33EC2" w:rsidRDefault="004E6382" w:rsidP="00D33EC2">
      <w:pPr>
        <w:autoSpaceDE w:val="0"/>
        <w:autoSpaceDN w:val="0"/>
        <w:adjustRightInd w:val="0"/>
        <w:spacing w:after="0" w:line="240" w:lineRule="auto"/>
        <w:ind w:left="2835" w:right="-284"/>
        <w:contextualSpacing/>
        <w:rPr>
          <w:rFonts w:ascii="Times New Roman" w:hAnsi="Times New Roman"/>
          <w:b/>
        </w:rPr>
      </w:pPr>
      <w:r w:rsidRPr="00366B97">
        <w:rPr>
          <w:rFonts w:ascii="Arial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22E74CB9" wp14:editId="107796AD">
            <wp:simplePos x="0" y="0"/>
            <wp:positionH relativeFrom="margin">
              <wp:posOffset>-344170</wp:posOffset>
            </wp:positionH>
            <wp:positionV relativeFrom="margin">
              <wp:posOffset>436489</wp:posOffset>
            </wp:positionV>
            <wp:extent cx="1759585" cy="250190"/>
            <wp:effectExtent l="0" t="0" r="0" b="0"/>
            <wp:wrapSquare wrapText="bothSides"/>
            <wp:docPr id="1" name="Рисунок 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typeSolid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AE2" w:rsidRPr="00D33EC2">
        <w:rPr>
          <w:rFonts w:ascii="Times New Roman" w:hAnsi="Times New Roman"/>
          <w:b/>
        </w:rPr>
        <w:t>«</w:t>
      </w:r>
      <w:r w:rsidR="00B80AE0" w:rsidRPr="00D33EC2">
        <w:rPr>
          <w:rFonts w:ascii="Times New Roman" w:hAnsi="Times New Roman"/>
          <w:b/>
        </w:rPr>
        <w:t>АРЕНДА ИНДИВИДУАЛЬНОГО БАНКОВСКОГО СЕЙФА</w:t>
      </w:r>
      <w:r w:rsidR="00742AE2" w:rsidRPr="00D33EC2">
        <w:rPr>
          <w:rFonts w:ascii="Times New Roman" w:hAnsi="Times New Roman"/>
          <w:b/>
        </w:rPr>
        <w:t>»</w:t>
      </w:r>
    </w:p>
    <w:p w:rsidR="00742AE2" w:rsidRPr="00366B97" w:rsidRDefault="00742AE2" w:rsidP="00742AE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742AE2" w:rsidRPr="00366B97" w:rsidRDefault="00742AE2" w:rsidP="00D33EC2">
      <w:pPr>
        <w:autoSpaceDE w:val="0"/>
        <w:autoSpaceDN w:val="0"/>
        <w:adjustRightInd w:val="0"/>
        <w:spacing w:after="0" w:line="240" w:lineRule="auto"/>
        <w:ind w:left="2835" w:right="-143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366B97">
        <w:rPr>
          <w:rFonts w:ascii="Times New Roman" w:hAnsi="Times New Roman"/>
          <w:i/>
          <w:sz w:val="18"/>
          <w:szCs w:val="18"/>
        </w:rPr>
        <w:t>В документе представлено краткое изложение ключевой информации, которая относится к стандартным условиям данного продукта.</w:t>
      </w:r>
    </w:p>
    <w:p w:rsidR="00742AE2" w:rsidRPr="00366B97" w:rsidRDefault="00742AE2" w:rsidP="00D33EC2">
      <w:pPr>
        <w:autoSpaceDE w:val="0"/>
        <w:autoSpaceDN w:val="0"/>
        <w:adjustRightInd w:val="0"/>
        <w:spacing w:after="0" w:line="240" w:lineRule="auto"/>
        <w:ind w:left="2835" w:right="-143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366B97">
        <w:rPr>
          <w:rFonts w:ascii="Times New Roman" w:hAnsi="Times New Roman"/>
          <w:i/>
          <w:sz w:val="18"/>
          <w:szCs w:val="18"/>
        </w:rPr>
        <w:t>Информация, указанная в документе, не является рекламой и носит исключительно справочный характер.</w:t>
      </w:r>
    </w:p>
    <w:p w:rsidR="00742AE2" w:rsidRPr="007B54B0" w:rsidRDefault="00742AE2" w:rsidP="00742AE2">
      <w:pPr>
        <w:autoSpaceDE w:val="0"/>
        <w:autoSpaceDN w:val="0"/>
        <w:adjustRightInd w:val="0"/>
        <w:spacing w:after="0" w:line="240" w:lineRule="auto"/>
        <w:ind w:left="-567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tblpX="-459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55"/>
      </w:tblGrid>
      <w:tr w:rsidR="00742AE2" w:rsidRPr="00150D82" w:rsidTr="00D33EC2">
        <w:tc>
          <w:tcPr>
            <w:tcW w:w="2518" w:type="dxa"/>
            <w:vAlign w:val="center"/>
          </w:tcPr>
          <w:p w:rsidR="00742AE2" w:rsidRPr="00366B97" w:rsidRDefault="00742AE2" w:rsidP="006976BC">
            <w:pPr>
              <w:spacing w:after="0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6B97">
              <w:rPr>
                <w:rFonts w:ascii="Times New Roman" w:hAnsi="Times New Roman"/>
                <w:b/>
                <w:bCs/>
                <w:sz w:val="16"/>
                <w:szCs w:val="16"/>
              </w:rPr>
              <w:t>Кредитная организация</w:t>
            </w:r>
            <w:r w:rsidR="0035421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(Банк)</w:t>
            </w:r>
          </w:p>
        </w:tc>
        <w:tc>
          <w:tcPr>
            <w:tcW w:w="7655" w:type="dxa"/>
          </w:tcPr>
          <w:p w:rsidR="00742AE2" w:rsidRPr="00366B97" w:rsidRDefault="00742AE2" w:rsidP="006976BC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66B97">
              <w:rPr>
                <w:rFonts w:ascii="Times New Roman" w:hAnsi="Times New Roman"/>
                <w:sz w:val="16"/>
                <w:szCs w:val="16"/>
              </w:rPr>
              <w:t>АО КБ «Солидарность» (ИНН: 6316028910</w:t>
            </w:r>
            <w:r w:rsidRPr="00E3396F">
              <w:rPr>
                <w:rFonts w:ascii="Times New Roman" w:hAnsi="Times New Roman"/>
                <w:sz w:val="16"/>
                <w:szCs w:val="16"/>
              </w:rPr>
              <w:t>; ОГРН: 1026300001848)</w:t>
            </w:r>
          </w:p>
        </w:tc>
      </w:tr>
      <w:tr w:rsidR="00742AE2" w:rsidRPr="00150D82" w:rsidTr="00D33EC2">
        <w:tc>
          <w:tcPr>
            <w:tcW w:w="2518" w:type="dxa"/>
            <w:vAlign w:val="center"/>
          </w:tcPr>
          <w:p w:rsidR="00742AE2" w:rsidRPr="00366B97" w:rsidRDefault="00742AE2" w:rsidP="006976BC">
            <w:pPr>
              <w:spacing w:after="0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6B97">
              <w:rPr>
                <w:rFonts w:ascii="Times New Roman" w:hAnsi="Times New Roman"/>
                <w:b/>
                <w:bCs/>
                <w:sz w:val="16"/>
                <w:szCs w:val="16"/>
              </w:rPr>
              <w:t>Контактная информация</w:t>
            </w:r>
          </w:p>
        </w:tc>
        <w:tc>
          <w:tcPr>
            <w:tcW w:w="7655" w:type="dxa"/>
          </w:tcPr>
          <w:p w:rsidR="00742AE2" w:rsidRDefault="00742AE2" w:rsidP="006976BC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6B97">
              <w:rPr>
                <w:rFonts w:ascii="Times New Roman" w:hAnsi="Times New Roman"/>
                <w:sz w:val="16"/>
                <w:szCs w:val="16"/>
              </w:rPr>
              <w:t xml:space="preserve">адрес регистрации: 443099, г. Самара, ул. Куйбышева, </w:t>
            </w:r>
            <w:r w:rsidR="0035421E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Pr="00366B97">
              <w:rPr>
                <w:rFonts w:ascii="Times New Roman" w:hAnsi="Times New Roman"/>
                <w:sz w:val="16"/>
                <w:szCs w:val="16"/>
              </w:rPr>
              <w:t xml:space="preserve">90; </w:t>
            </w:r>
          </w:p>
          <w:p w:rsidR="00742AE2" w:rsidRPr="001B05C9" w:rsidRDefault="00742AE2" w:rsidP="001B05C9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6B97">
              <w:rPr>
                <w:rFonts w:ascii="Times New Roman" w:hAnsi="Times New Roman"/>
                <w:sz w:val="16"/>
                <w:szCs w:val="16"/>
              </w:rPr>
              <w:t xml:space="preserve">контактный телефон: 8-800-700-92-20; официальный сайт: </w:t>
            </w:r>
            <w:hyperlink r:id="rId6" w:history="1">
              <w:r w:rsidR="001B05C9" w:rsidRPr="00B60730">
                <w:rPr>
                  <w:rStyle w:val="ab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1B05C9" w:rsidRPr="00B60730">
                <w:rPr>
                  <w:rStyle w:val="ab"/>
                  <w:rFonts w:ascii="Times New Roman" w:hAnsi="Times New Roman"/>
                  <w:sz w:val="16"/>
                  <w:szCs w:val="16"/>
                </w:rPr>
                <w:t>://</w:t>
              </w:r>
              <w:r w:rsidR="001B05C9" w:rsidRPr="00B60730">
                <w:rPr>
                  <w:rStyle w:val="ab"/>
                  <w:rFonts w:ascii="Times New Roman" w:hAnsi="Times New Roman"/>
                  <w:sz w:val="16"/>
                  <w:szCs w:val="16"/>
                  <w:lang w:val="en-US"/>
                </w:rPr>
                <w:t>solid</w:t>
              </w:r>
              <w:r w:rsidR="001B05C9" w:rsidRPr="00B60730">
                <w:rPr>
                  <w:rStyle w:val="ab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1B05C9" w:rsidRPr="00B60730">
                <w:rPr>
                  <w:rStyle w:val="ab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742AE2" w:rsidRPr="00150D82" w:rsidTr="006976BC">
        <w:tc>
          <w:tcPr>
            <w:tcW w:w="10173" w:type="dxa"/>
            <w:gridSpan w:val="2"/>
            <w:vAlign w:val="center"/>
          </w:tcPr>
          <w:p w:rsidR="00742AE2" w:rsidRPr="00366B97" w:rsidRDefault="00742AE2" w:rsidP="00EC2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6B97">
              <w:rPr>
                <w:rFonts w:ascii="Times New Roman" w:hAnsi="Times New Roman"/>
                <w:sz w:val="16"/>
                <w:szCs w:val="16"/>
              </w:rPr>
              <w:t xml:space="preserve">Не является договором, частью договора, офертой и не порождает взаимные права и обязанности сторон. Перед заключением договора </w:t>
            </w:r>
            <w:r w:rsidRPr="009D40F1">
              <w:rPr>
                <w:rFonts w:ascii="Times New Roman" w:hAnsi="Times New Roman"/>
                <w:sz w:val="16"/>
                <w:szCs w:val="16"/>
              </w:rPr>
              <w:t xml:space="preserve">необходимо внимательно ознакомиться с условиями договора, которые отражены в следующих документах: Договор </w:t>
            </w:r>
            <w:r w:rsidR="008F03B9" w:rsidRPr="009D40F1">
              <w:rPr>
                <w:rFonts w:ascii="Times New Roman" w:hAnsi="Times New Roman"/>
                <w:sz w:val="16"/>
                <w:szCs w:val="16"/>
              </w:rPr>
              <w:t>аренды индивидуального банковского сейфа</w:t>
            </w:r>
            <w:r w:rsidR="00AA1018" w:rsidRPr="009D40F1">
              <w:rPr>
                <w:rFonts w:ascii="Times New Roman" w:hAnsi="Times New Roman"/>
                <w:sz w:val="16"/>
                <w:szCs w:val="16"/>
              </w:rPr>
              <w:t>,</w:t>
            </w:r>
            <w:r w:rsidR="00EC2A32" w:rsidRPr="009D40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15E23" w:rsidRPr="009D40F1">
              <w:rPr>
                <w:rFonts w:ascii="Times New Roman" w:hAnsi="Times New Roman"/>
                <w:sz w:val="16"/>
                <w:szCs w:val="16"/>
              </w:rPr>
              <w:t xml:space="preserve">Правила предоставления в аренду индивидуальных банковских сейфов в АО КБ «Солидарность», </w:t>
            </w:r>
            <w:r w:rsidR="00A876BB" w:rsidRPr="009D40F1">
              <w:rPr>
                <w:rFonts w:ascii="Times New Roman" w:hAnsi="Times New Roman"/>
                <w:sz w:val="16"/>
                <w:szCs w:val="16"/>
              </w:rPr>
              <w:t xml:space="preserve">Тарифы </w:t>
            </w:r>
            <w:r w:rsidR="0042186F" w:rsidRPr="009D40F1">
              <w:rPr>
                <w:rFonts w:ascii="Times New Roman" w:hAnsi="Times New Roman"/>
                <w:sz w:val="16"/>
                <w:szCs w:val="16"/>
              </w:rPr>
              <w:t>по предоставлению в аренду физическим лицам индивидуальных банковских сейфов в АО КБ "Солидарность"</w:t>
            </w:r>
            <w:r w:rsidR="00B14600" w:rsidRPr="009D40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B14600" w:rsidRPr="009D40F1">
              <w:t xml:space="preserve"> </w:t>
            </w:r>
            <w:r w:rsidR="00B14600" w:rsidRPr="009D40F1">
              <w:rPr>
                <w:rFonts w:ascii="Times New Roman" w:hAnsi="Times New Roman"/>
                <w:sz w:val="16"/>
                <w:szCs w:val="16"/>
              </w:rPr>
              <w:t>Тарифы по обслуживанию физических лиц в рублях Российской Федерации и иностранной валюте в АО КБ «Солидарность»</w:t>
            </w:r>
            <w:r w:rsidR="00A876BB" w:rsidRPr="009D40F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42AE2" w:rsidRPr="00150D82" w:rsidTr="006976BC">
        <w:trPr>
          <w:trHeight w:val="189"/>
        </w:trPr>
        <w:tc>
          <w:tcPr>
            <w:tcW w:w="10173" w:type="dxa"/>
            <w:gridSpan w:val="2"/>
            <w:vAlign w:val="center"/>
          </w:tcPr>
          <w:p w:rsidR="00742AE2" w:rsidRPr="00366B97" w:rsidRDefault="00742AE2" w:rsidP="006976B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B97">
              <w:rPr>
                <w:rFonts w:ascii="Times New Roman" w:hAnsi="Times New Roman"/>
                <w:b/>
                <w:sz w:val="16"/>
                <w:szCs w:val="16"/>
              </w:rPr>
              <w:t>ОСНОВНЫЕ УСЛОВИЯ</w:t>
            </w:r>
          </w:p>
        </w:tc>
      </w:tr>
      <w:tr w:rsidR="00452E2D" w:rsidRPr="00150D82" w:rsidTr="00D33EC2">
        <w:trPr>
          <w:trHeight w:val="189"/>
        </w:trPr>
        <w:tc>
          <w:tcPr>
            <w:tcW w:w="2518" w:type="dxa"/>
            <w:vAlign w:val="center"/>
          </w:tcPr>
          <w:p w:rsidR="00452E2D" w:rsidRPr="00366B97" w:rsidRDefault="00E82EB8" w:rsidP="00452E2D">
            <w:pPr>
              <w:spacing w:after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Что можно хранить</w:t>
            </w:r>
          </w:p>
        </w:tc>
        <w:tc>
          <w:tcPr>
            <w:tcW w:w="7655" w:type="dxa"/>
            <w:vAlign w:val="center"/>
          </w:tcPr>
          <w:p w:rsidR="002567BB" w:rsidRPr="002567BB" w:rsidRDefault="002567BB" w:rsidP="001725B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567BB">
              <w:rPr>
                <w:rFonts w:ascii="Times New Roman" w:hAnsi="Times New Roman"/>
                <w:b/>
                <w:sz w:val="16"/>
                <w:szCs w:val="16"/>
              </w:rPr>
              <w:t>Разрешенные к хранению вещи:</w:t>
            </w:r>
          </w:p>
          <w:p w:rsidR="00452E2D" w:rsidRDefault="0042186F" w:rsidP="001725B4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</w:t>
            </w:r>
            <w:r w:rsidR="00E82EB8" w:rsidRPr="00E82EB8">
              <w:rPr>
                <w:rFonts w:ascii="Times New Roman" w:hAnsi="Times New Roman"/>
                <w:sz w:val="16"/>
                <w:szCs w:val="16"/>
              </w:rPr>
              <w:t>енности и/или документы</w:t>
            </w:r>
          </w:p>
          <w:p w:rsidR="00CE243B" w:rsidRPr="00CE243B" w:rsidRDefault="00CE243B" w:rsidP="001725B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E243B">
              <w:rPr>
                <w:rFonts w:ascii="Times New Roman" w:hAnsi="Times New Roman"/>
                <w:b/>
                <w:sz w:val="16"/>
                <w:szCs w:val="16"/>
              </w:rPr>
              <w:t>Запрещенные к хранению вещи:</w:t>
            </w:r>
          </w:p>
          <w:p w:rsidR="00C8793E" w:rsidRPr="00723CFE" w:rsidRDefault="00CE243B" w:rsidP="00D33EC2">
            <w:pPr>
              <w:pStyle w:val="aa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312" w:hanging="28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8793E">
              <w:rPr>
                <w:rFonts w:ascii="Times New Roman" w:hAnsi="Times New Roman"/>
                <w:bCs/>
                <w:iCs/>
                <w:sz w:val="16"/>
                <w:szCs w:val="16"/>
              </w:rPr>
              <w:t>запрещенные</w:t>
            </w:r>
            <w:r w:rsidRPr="00BD7A53">
              <w:rPr>
                <w:rFonts w:ascii="Times New Roman" w:hAnsi="Times New Roman"/>
                <w:bCs/>
                <w:iCs/>
                <w:sz w:val="16"/>
                <w:szCs w:val="16"/>
              </w:rPr>
              <w:t>, изъятые из гражданского оборота или ограниченные в гражданском обороте в соответствии с законодательством Российской Федерации предметы и вещества</w:t>
            </w:r>
            <w:r w:rsidR="00C8793E" w:rsidRPr="00BD7A53">
              <w:rPr>
                <w:rFonts w:ascii="Times New Roman" w:hAnsi="Times New Roman"/>
                <w:bCs/>
                <w:iCs/>
                <w:sz w:val="16"/>
                <w:szCs w:val="16"/>
              </w:rPr>
              <w:t>;</w:t>
            </w:r>
          </w:p>
          <w:p w:rsidR="00C8793E" w:rsidRPr="00723CFE" w:rsidRDefault="00CE243B" w:rsidP="00D33EC2">
            <w:pPr>
              <w:pStyle w:val="aa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312" w:hanging="28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23CFE">
              <w:rPr>
                <w:rFonts w:ascii="Times New Roman" w:hAnsi="Times New Roman"/>
                <w:bCs/>
                <w:iCs/>
                <w:sz w:val="16"/>
                <w:szCs w:val="16"/>
              </w:rPr>
              <w:t>продукты питания</w:t>
            </w:r>
            <w:r w:rsidR="00C8793E" w:rsidRPr="00723CFE">
              <w:rPr>
                <w:rFonts w:ascii="Times New Roman" w:hAnsi="Times New Roman"/>
                <w:bCs/>
                <w:iCs/>
                <w:sz w:val="16"/>
                <w:szCs w:val="16"/>
              </w:rPr>
              <w:t>;</w:t>
            </w:r>
          </w:p>
          <w:p w:rsidR="00C8793E" w:rsidRPr="00883427" w:rsidRDefault="00CE243B" w:rsidP="00D33EC2">
            <w:pPr>
              <w:pStyle w:val="aa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312" w:hanging="28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83427">
              <w:rPr>
                <w:rFonts w:ascii="Times New Roman" w:hAnsi="Times New Roman"/>
                <w:bCs/>
                <w:iCs/>
                <w:sz w:val="16"/>
                <w:szCs w:val="16"/>
              </w:rPr>
              <w:t>живые организмы и предметы биологического происхождения</w:t>
            </w:r>
            <w:r w:rsidR="00C8793E" w:rsidRPr="00883427">
              <w:rPr>
                <w:rFonts w:ascii="Times New Roman" w:hAnsi="Times New Roman"/>
                <w:bCs/>
                <w:iCs/>
                <w:sz w:val="16"/>
                <w:szCs w:val="16"/>
              </w:rPr>
              <w:t>;</w:t>
            </w:r>
          </w:p>
          <w:p w:rsidR="00CB799D" w:rsidRPr="008E6BBA" w:rsidRDefault="00CE243B" w:rsidP="00D33EC2">
            <w:pPr>
              <w:pStyle w:val="aa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312" w:hanging="28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E6BBA">
              <w:rPr>
                <w:rFonts w:ascii="Times New Roman" w:hAnsi="Times New Roman"/>
                <w:bCs/>
                <w:iCs/>
                <w:sz w:val="16"/>
                <w:szCs w:val="16"/>
              </w:rPr>
              <w:t>пожароопасные, взрывоопасные, радиоактивные и отравляющие вещества</w:t>
            </w:r>
            <w:r w:rsidR="00CB799D" w:rsidRPr="008E6BBA">
              <w:rPr>
                <w:rFonts w:ascii="Times New Roman" w:hAnsi="Times New Roman"/>
                <w:bCs/>
                <w:iCs/>
                <w:sz w:val="16"/>
                <w:szCs w:val="16"/>
              </w:rPr>
              <w:t>;</w:t>
            </w:r>
          </w:p>
          <w:p w:rsidR="00CE243B" w:rsidRPr="00C8793E" w:rsidRDefault="00CE243B" w:rsidP="00D33EC2">
            <w:pPr>
              <w:pStyle w:val="aa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312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05C9">
              <w:rPr>
                <w:rFonts w:ascii="Times New Roman" w:hAnsi="Times New Roman"/>
                <w:bCs/>
                <w:iCs/>
                <w:sz w:val="16"/>
                <w:szCs w:val="16"/>
              </w:rPr>
              <w:t>предметы и вещества, способные нанести вред сотрудникам, помещениям и охранным системам Банка, а также имуществу третьих лиц.</w:t>
            </w:r>
          </w:p>
        </w:tc>
      </w:tr>
      <w:tr w:rsidR="00742AE2" w:rsidRPr="00150D82" w:rsidTr="00D33EC2">
        <w:tc>
          <w:tcPr>
            <w:tcW w:w="2518" w:type="dxa"/>
            <w:vAlign w:val="center"/>
          </w:tcPr>
          <w:p w:rsidR="00742AE2" w:rsidRPr="00366B97" w:rsidRDefault="0042186F" w:rsidP="00305B2C">
            <w:pPr>
              <w:spacing w:after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Стоимость аренды</w:t>
            </w:r>
          </w:p>
        </w:tc>
        <w:tc>
          <w:tcPr>
            <w:tcW w:w="7655" w:type="dxa"/>
            <w:vAlign w:val="center"/>
          </w:tcPr>
          <w:p w:rsidR="00B1313C" w:rsidRDefault="00B1313C" w:rsidP="007F73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зависимости от размера сейфа, региона расположе</w:t>
            </w:r>
            <w:r w:rsidR="003B518F">
              <w:rPr>
                <w:rFonts w:ascii="Times New Roman" w:hAnsi="Times New Roman"/>
                <w:sz w:val="16"/>
                <w:szCs w:val="16"/>
              </w:rPr>
              <w:t>ния офиса Банка и срока аренды.</w:t>
            </w:r>
          </w:p>
          <w:p w:rsidR="00742AE2" w:rsidRPr="00366B97" w:rsidRDefault="00FB5C49" w:rsidP="00FB5C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Подробнее </w:t>
            </w:r>
            <w:r w:rsidR="0042186F">
              <w:rPr>
                <w:rFonts w:ascii="Times New Roman" w:hAnsi="Times New Roman"/>
                <w:sz w:val="16"/>
                <w:szCs w:val="16"/>
              </w:rPr>
              <w:t xml:space="preserve">с Тарифами </w:t>
            </w:r>
            <w:r w:rsidR="007367EB" w:rsidRPr="0042186F">
              <w:rPr>
                <w:rFonts w:ascii="Times New Roman" w:hAnsi="Times New Roman"/>
                <w:sz w:val="16"/>
                <w:szCs w:val="16"/>
              </w:rPr>
              <w:t>по предоставлению в аренду физическим лицам индивидуальных банковски</w:t>
            </w:r>
            <w:r w:rsidR="007367EB">
              <w:rPr>
                <w:rFonts w:ascii="Times New Roman" w:hAnsi="Times New Roman"/>
                <w:sz w:val="16"/>
                <w:szCs w:val="16"/>
              </w:rPr>
              <w:t>х сейфов в АО КБ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7367EB">
              <w:rPr>
                <w:rFonts w:ascii="Times New Roman" w:hAnsi="Times New Roman"/>
                <w:sz w:val="16"/>
                <w:szCs w:val="16"/>
              </w:rPr>
              <w:t>Солидарность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в регионе присутствия услуги можно ознакомиться на сайте: </w:t>
            </w:r>
            <w:r>
              <w:t xml:space="preserve"> </w:t>
            </w:r>
            <w:hyperlink r:id="rId7" w:history="1">
              <w:r w:rsidRPr="00B60730">
                <w:rPr>
                  <w:rStyle w:val="ab"/>
                  <w:rFonts w:ascii="Times New Roman" w:hAnsi="Times New Roman"/>
                  <w:sz w:val="16"/>
                  <w:szCs w:val="16"/>
                </w:rPr>
                <w:t>https://solid.ru/retail/safe-cell/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42AE2" w:rsidRPr="00150D82" w:rsidTr="00D33EC2">
        <w:trPr>
          <w:trHeight w:val="214"/>
        </w:trPr>
        <w:tc>
          <w:tcPr>
            <w:tcW w:w="2518" w:type="dxa"/>
            <w:vAlign w:val="center"/>
          </w:tcPr>
          <w:p w:rsidR="00742AE2" w:rsidRPr="00366B97" w:rsidRDefault="00630B61" w:rsidP="00630B61">
            <w:pPr>
              <w:spacing w:after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Срок</w:t>
            </w:r>
            <w:r w:rsidR="008F3E31">
              <w:rPr>
                <w:rFonts w:ascii="Times New Roman" w:hAnsi="Times New Roman"/>
                <w:b/>
                <w:sz w:val="16"/>
                <w:szCs w:val="16"/>
              </w:rPr>
              <w:t xml:space="preserve"> аренды</w:t>
            </w:r>
          </w:p>
        </w:tc>
        <w:tc>
          <w:tcPr>
            <w:tcW w:w="7655" w:type="dxa"/>
            <w:vAlign w:val="center"/>
          </w:tcPr>
          <w:p w:rsidR="00742AE2" w:rsidRDefault="00ED2F44" w:rsidP="004E3DC2">
            <w:pPr>
              <w:spacing w:after="0"/>
              <w:ind w:left="-82" w:firstLine="82"/>
              <w:contextualSpacing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ED2F44">
              <w:rPr>
                <w:rFonts w:ascii="Times New Roman" w:hAnsi="Times New Roman"/>
                <w:bCs/>
                <w:iCs/>
                <w:sz w:val="16"/>
                <w:szCs w:val="16"/>
              </w:rPr>
              <w:t>от 1 до 15 дней (включительно)</w:t>
            </w:r>
          </w:p>
          <w:p w:rsidR="00ED2F44" w:rsidRDefault="00ED2F44" w:rsidP="004E3DC2">
            <w:pPr>
              <w:spacing w:after="0"/>
              <w:ind w:left="-82" w:firstLine="82"/>
              <w:contextualSpacing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ED2F44">
              <w:rPr>
                <w:rFonts w:ascii="Times New Roman" w:hAnsi="Times New Roman"/>
                <w:bCs/>
                <w:iCs/>
                <w:sz w:val="16"/>
                <w:szCs w:val="16"/>
              </w:rPr>
              <w:t>от 16 до 30 дней (включительно)</w:t>
            </w:r>
          </w:p>
          <w:p w:rsidR="00ED2F44" w:rsidRDefault="00ED2F44" w:rsidP="004E3DC2">
            <w:pPr>
              <w:spacing w:after="0"/>
              <w:ind w:left="-82" w:firstLine="82"/>
              <w:contextualSpacing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ED2F44">
              <w:rPr>
                <w:rFonts w:ascii="Times New Roman" w:hAnsi="Times New Roman"/>
                <w:bCs/>
                <w:iCs/>
                <w:sz w:val="16"/>
                <w:szCs w:val="16"/>
              </w:rPr>
              <w:t>от 31 до 90 дней (включительно)</w:t>
            </w:r>
          </w:p>
          <w:p w:rsidR="00ED2F44" w:rsidRDefault="00ED2F44" w:rsidP="004E3DC2">
            <w:pPr>
              <w:spacing w:after="0"/>
              <w:ind w:left="-82" w:firstLine="82"/>
              <w:contextualSpacing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ED2F44">
              <w:rPr>
                <w:rFonts w:ascii="Times New Roman" w:hAnsi="Times New Roman"/>
                <w:bCs/>
                <w:iCs/>
                <w:sz w:val="16"/>
                <w:szCs w:val="16"/>
              </w:rPr>
              <w:t>от 91 до 180 дней (включительно)</w:t>
            </w:r>
          </w:p>
          <w:p w:rsidR="00ED2F44" w:rsidRPr="00366B97" w:rsidRDefault="00ED2F44" w:rsidP="004E3DC2">
            <w:pPr>
              <w:spacing w:after="0"/>
              <w:ind w:left="-82" w:firstLine="82"/>
              <w:contextualSpacing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ED2F44">
              <w:rPr>
                <w:rFonts w:ascii="Times New Roman" w:hAnsi="Times New Roman"/>
                <w:bCs/>
                <w:iCs/>
                <w:sz w:val="16"/>
                <w:szCs w:val="16"/>
              </w:rPr>
              <w:t>от 181 до 360 дней (включительно)</w:t>
            </w:r>
          </w:p>
        </w:tc>
      </w:tr>
      <w:tr w:rsidR="00742AE2" w:rsidRPr="00150D82" w:rsidTr="00D33EC2">
        <w:trPr>
          <w:trHeight w:val="403"/>
        </w:trPr>
        <w:tc>
          <w:tcPr>
            <w:tcW w:w="2518" w:type="dxa"/>
            <w:vAlign w:val="center"/>
          </w:tcPr>
          <w:p w:rsidR="00742AE2" w:rsidRPr="00366B97" w:rsidRDefault="00742AE2" w:rsidP="005F0B5E">
            <w:pPr>
              <w:spacing w:after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366B97">
              <w:rPr>
                <w:rFonts w:ascii="Times New Roman" w:hAnsi="Times New Roman"/>
                <w:b/>
                <w:sz w:val="16"/>
                <w:szCs w:val="16"/>
              </w:rPr>
              <w:t xml:space="preserve">Возможность дистанционного </w:t>
            </w:r>
            <w:r w:rsidR="005F0B5E">
              <w:rPr>
                <w:rFonts w:ascii="Times New Roman" w:hAnsi="Times New Roman"/>
                <w:b/>
                <w:sz w:val="16"/>
                <w:szCs w:val="16"/>
              </w:rPr>
              <w:t>бронирования</w:t>
            </w:r>
          </w:p>
        </w:tc>
        <w:tc>
          <w:tcPr>
            <w:tcW w:w="7655" w:type="dxa"/>
            <w:vAlign w:val="center"/>
          </w:tcPr>
          <w:p w:rsidR="00742AE2" w:rsidRPr="00366B97" w:rsidRDefault="00DB6E4E" w:rsidP="006976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Не предусмотрено</w:t>
            </w:r>
          </w:p>
        </w:tc>
      </w:tr>
      <w:tr w:rsidR="00742AE2" w:rsidRPr="00150D82" w:rsidTr="006976BC">
        <w:trPr>
          <w:trHeight w:val="168"/>
        </w:trPr>
        <w:tc>
          <w:tcPr>
            <w:tcW w:w="10173" w:type="dxa"/>
            <w:gridSpan w:val="2"/>
            <w:vAlign w:val="center"/>
          </w:tcPr>
          <w:p w:rsidR="00742AE2" w:rsidRPr="00366B97" w:rsidRDefault="00AD2B87" w:rsidP="00E8590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ОСОБЕННОСТИ АРЕНДЫ</w:t>
            </w:r>
          </w:p>
        </w:tc>
      </w:tr>
      <w:tr w:rsidR="00622E33" w:rsidRPr="00150D82" w:rsidTr="00D33EC2">
        <w:trPr>
          <w:trHeight w:val="122"/>
        </w:trPr>
        <w:tc>
          <w:tcPr>
            <w:tcW w:w="2518" w:type="dxa"/>
            <w:vAlign w:val="center"/>
          </w:tcPr>
          <w:p w:rsidR="00622E33" w:rsidRPr="00366B97" w:rsidRDefault="00622E33" w:rsidP="00924E4C">
            <w:pPr>
              <w:spacing w:after="0"/>
              <w:contextualSpacing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Размер сейфа</w:t>
            </w:r>
            <w:r w:rsidR="00CF3FAA">
              <w:rPr>
                <w:rFonts w:ascii="Times New Roman" w:hAnsi="Times New Roman"/>
                <w:b/>
                <w:sz w:val="16"/>
                <w:szCs w:val="16"/>
              </w:rPr>
              <w:t>, см</w:t>
            </w:r>
          </w:p>
        </w:tc>
        <w:tc>
          <w:tcPr>
            <w:tcW w:w="7655" w:type="dxa"/>
            <w:vAlign w:val="center"/>
          </w:tcPr>
          <w:p w:rsidR="00622E33" w:rsidRDefault="001E1B0D" w:rsidP="00456CAD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от </w:t>
            </w:r>
            <w:r w:rsidR="003F6943">
              <w:rPr>
                <w:rFonts w:ascii="Times New Roman" w:hAnsi="Times New Roman"/>
                <w:bCs/>
                <w:iCs/>
                <w:sz w:val="16"/>
                <w:szCs w:val="16"/>
              </w:rPr>
              <w:t>4</w:t>
            </w:r>
            <w:r w:rsidRPr="001E1B0D">
              <w:rPr>
                <w:rFonts w:ascii="Times New Roman" w:hAnsi="Times New Roman"/>
                <w:bCs/>
                <w:iCs/>
                <w:sz w:val="16"/>
                <w:szCs w:val="16"/>
              </w:rPr>
              <w:t>х25х36,5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до </w:t>
            </w:r>
            <w:r w:rsidRPr="001E1B0D">
              <w:rPr>
                <w:rFonts w:ascii="Times New Roman" w:hAnsi="Times New Roman"/>
                <w:bCs/>
                <w:iCs/>
                <w:sz w:val="16"/>
                <w:szCs w:val="16"/>
              </w:rPr>
              <w:t>51х26х39</w:t>
            </w:r>
          </w:p>
          <w:p w:rsidR="00EA2775" w:rsidRPr="00366B97" w:rsidRDefault="00EA2775" w:rsidP="00D33EC2">
            <w:pPr>
              <w:tabs>
                <w:tab w:val="left" w:pos="3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Подробнее с размерами сейфов в регионе присутствия услуги можно ознакомиться на сайте: </w:t>
            </w:r>
            <w:hyperlink r:id="rId8" w:history="1">
              <w:r w:rsidRPr="00B60730">
                <w:rPr>
                  <w:rStyle w:val="ab"/>
                  <w:rFonts w:ascii="Times New Roman" w:hAnsi="Times New Roman"/>
                  <w:sz w:val="16"/>
                  <w:szCs w:val="16"/>
                </w:rPr>
                <w:t>https://solid.ru/retail/safe-cell/</w:t>
              </w:r>
            </w:hyperlink>
          </w:p>
        </w:tc>
      </w:tr>
      <w:tr w:rsidR="00D8150E" w:rsidRPr="00150D82" w:rsidTr="00D33EC2">
        <w:trPr>
          <w:trHeight w:val="122"/>
        </w:trPr>
        <w:tc>
          <w:tcPr>
            <w:tcW w:w="2518" w:type="dxa"/>
            <w:vAlign w:val="center"/>
          </w:tcPr>
          <w:p w:rsidR="00D8150E" w:rsidRDefault="00D8150E" w:rsidP="00924E4C">
            <w:pPr>
              <w:spacing w:after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Возможность совместного пользования сейфом</w:t>
            </w:r>
          </w:p>
        </w:tc>
        <w:tc>
          <w:tcPr>
            <w:tcW w:w="7655" w:type="dxa"/>
            <w:vAlign w:val="center"/>
          </w:tcPr>
          <w:p w:rsidR="0057228C" w:rsidRDefault="00BF06FF" w:rsidP="004E0D79">
            <w:pPr>
              <w:tabs>
                <w:tab w:val="left" w:pos="3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Предусмотрено </w:t>
            </w:r>
            <w:r w:rsidR="00A5645E">
              <w:rPr>
                <w:rFonts w:ascii="Times New Roman" w:hAnsi="Times New Roman"/>
                <w:bCs/>
                <w:iCs/>
                <w:sz w:val="16"/>
                <w:szCs w:val="16"/>
              </w:rPr>
              <w:t>при заключении следующих договоров</w:t>
            </w:r>
            <w:r w:rsidR="0057228C">
              <w:rPr>
                <w:rFonts w:ascii="Times New Roman" w:hAnsi="Times New Roman"/>
                <w:bCs/>
                <w:iCs/>
                <w:sz w:val="16"/>
                <w:szCs w:val="16"/>
              </w:rPr>
              <w:t>:</w:t>
            </w:r>
          </w:p>
          <w:p w:rsidR="0057228C" w:rsidRDefault="00BF06FF" w:rsidP="00D33EC2">
            <w:pPr>
              <w:pStyle w:val="aa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312" w:hanging="28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7228C">
              <w:rPr>
                <w:rFonts w:ascii="Times New Roman" w:hAnsi="Times New Roman"/>
                <w:bCs/>
                <w:iCs/>
                <w:sz w:val="16"/>
                <w:szCs w:val="16"/>
              </w:rPr>
              <w:t>Договор аренды индивидуального банковского сейфа для нескольких физических лиц</w:t>
            </w:r>
            <w:r w:rsidR="0057228C">
              <w:rPr>
                <w:rFonts w:ascii="Times New Roman" w:hAnsi="Times New Roman"/>
                <w:bCs/>
                <w:iCs/>
                <w:sz w:val="16"/>
                <w:szCs w:val="16"/>
              </w:rPr>
              <w:t>;</w:t>
            </w:r>
          </w:p>
          <w:p w:rsidR="0057228C" w:rsidRDefault="004E0D79" w:rsidP="00D33EC2">
            <w:pPr>
              <w:pStyle w:val="aa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312" w:hanging="28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7228C">
              <w:rPr>
                <w:rFonts w:ascii="Times New Roman" w:hAnsi="Times New Roman"/>
                <w:bCs/>
                <w:iCs/>
                <w:sz w:val="16"/>
                <w:szCs w:val="16"/>
              </w:rPr>
              <w:t>Договор аренды индивидуального банковского сейфа с особыми условиями доступа</w:t>
            </w:r>
            <w:r w:rsidR="0057228C">
              <w:rPr>
                <w:rFonts w:ascii="Times New Roman" w:hAnsi="Times New Roman"/>
                <w:bCs/>
                <w:iCs/>
                <w:sz w:val="16"/>
                <w:szCs w:val="16"/>
              </w:rPr>
              <w:t>;</w:t>
            </w:r>
          </w:p>
          <w:p w:rsidR="00D8150E" w:rsidRDefault="004E0D79" w:rsidP="00D33EC2">
            <w:pPr>
              <w:pStyle w:val="aa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312" w:hanging="28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7228C">
              <w:rPr>
                <w:rFonts w:ascii="Times New Roman" w:hAnsi="Times New Roman"/>
                <w:bCs/>
                <w:iCs/>
                <w:sz w:val="16"/>
                <w:szCs w:val="16"/>
              </w:rPr>
              <w:t>Договор аренды индивидуального банковского сейфа по сделкам с недвижимостью с использованием кредитных средств Банка</w:t>
            </w:r>
            <w:r w:rsidR="00484E34">
              <w:rPr>
                <w:rFonts w:ascii="Times New Roman" w:hAnsi="Times New Roman"/>
                <w:bCs/>
                <w:iCs/>
                <w:sz w:val="16"/>
                <w:szCs w:val="16"/>
              </w:rPr>
              <w:t>.</w:t>
            </w:r>
          </w:p>
          <w:p w:rsidR="00484E34" w:rsidRPr="00484E34" w:rsidRDefault="009376A6" w:rsidP="009376A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 дополнительные расходы </w:t>
            </w:r>
            <w:r w:rsidR="00F00590">
              <w:rPr>
                <w:rFonts w:ascii="Times New Roman" w:hAnsi="Times New Roman"/>
                <w:bCs/>
                <w:iCs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лиента входит о</w:t>
            </w:r>
            <w:r w:rsidR="00852150" w:rsidRPr="00852150">
              <w:rPr>
                <w:rFonts w:ascii="Times New Roman" w:hAnsi="Times New Roman"/>
                <w:bCs/>
                <w:iCs/>
                <w:sz w:val="16"/>
                <w:szCs w:val="16"/>
              </w:rPr>
              <w:t>формление документов по предоставлению в аренду индивидуального банковского сейфа нескольким физическим лицам</w:t>
            </w:r>
            <w:r w:rsidR="00FE55AB">
              <w:rPr>
                <w:rFonts w:ascii="Times New Roman" w:hAnsi="Times New Roman"/>
                <w:bCs/>
                <w:iCs/>
                <w:sz w:val="16"/>
                <w:szCs w:val="16"/>
              </w:rPr>
              <w:t>.</w:t>
            </w:r>
            <w:r w:rsidR="00852150" w:rsidRPr="00852150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742AE2" w:rsidRPr="00150D82" w:rsidTr="00D33EC2">
        <w:trPr>
          <w:trHeight w:val="95"/>
        </w:trPr>
        <w:tc>
          <w:tcPr>
            <w:tcW w:w="2518" w:type="dxa"/>
            <w:vAlign w:val="center"/>
          </w:tcPr>
          <w:p w:rsidR="00742AE2" w:rsidRPr="00366B97" w:rsidRDefault="006F07F2" w:rsidP="006976BC">
            <w:pPr>
              <w:spacing w:after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Залог за ключ</w:t>
            </w:r>
          </w:p>
        </w:tc>
        <w:tc>
          <w:tcPr>
            <w:tcW w:w="7655" w:type="dxa"/>
            <w:vAlign w:val="center"/>
          </w:tcPr>
          <w:p w:rsidR="00742AE2" w:rsidRPr="00BB32D6" w:rsidRDefault="00DB6E4E" w:rsidP="001A4C2F">
            <w:pPr>
              <w:pStyle w:val="3"/>
              <w:contextualSpacing/>
              <w:rPr>
                <w:bCs/>
                <w:i w:val="0"/>
                <w:sz w:val="16"/>
                <w:szCs w:val="16"/>
              </w:rPr>
            </w:pPr>
            <w:r>
              <w:rPr>
                <w:bCs/>
                <w:i w:val="0"/>
                <w:iCs w:val="0"/>
                <w:sz w:val="16"/>
                <w:szCs w:val="16"/>
              </w:rPr>
              <w:t>Не предусмотрено</w:t>
            </w:r>
          </w:p>
        </w:tc>
      </w:tr>
      <w:tr w:rsidR="00742AE2" w:rsidRPr="00150D82" w:rsidTr="006976BC">
        <w:trPr>
          <w:trHeight w:val="66"/>
        </w:trPr>
        <w:tc>
          <w:tcPr>
            <w:tcW w:w="10173" w:type="dxa"/>
            <w:gridSpan w:val="2"/>
            <w:vAlign w:val="center"/>
          </w:tcPr>
          <w:p w:rsidR="00742AE2" w:rsidRPr="00366B97" w:rsidRDefault="007D5D47" w:rsidP="002710E4">
            <w:pPr>
              <w:tabs>
                <w:tab w:val="left" w:pos="32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ОСОБЕННОСТИ ДОГОВОРА АРЕНДЫ</w:t>
            </w:r>
          </w:p>
        </w:tc>
      </w:tr>
      <w:tr w:rsidR="00742AE2" w:rsidRPr="00150D82" w:rsidTr="00D33EC2">
        <w:trPr>
          <w:trHeight w:val="56"/>
        </w:trPr>
        <w:tc>
          <w:tcPr>
            <w:tcW w:w="2518" w:type="dxa"/>
            <w:vAlign w:val="center"/>
          </w:tcPr>
          <w:p w:rsidR="00742AE2" w:rsidRPr="00366B97" w:rsidRDefault="00736432" w:rsidP="006976BC">
            <w:pPr>
              <w:spacing w:after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Документы, необходимые для заключения Договора</w:t>
            </w:r>
          </w:p>
        </w:tc>
        <w:tc>
          <w:tcPr>
            <w:tcW w:w="7655" w:type="dxa"/>
            <w:vAlign w:val="center"/>
          </w:tcPr>
          <w:p w:rsidR="00742AE2" w:rsidRPr="00366B97" w:rsidRDefault="002F02D6" w:rsidP="001332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F02D6">
              <w:rPr>
                <w:rFonts w:ascii="Times New Roman" w:hAnsi="Times New Roman"/>
                <w:sz w:val="16"/>
                <w:szCs w:val="16"/>
              </w:rPr>
              <w:t>аспорт</w:t>
            </w:r>
            <w:r w:rsidR="0013328C">
              <w:rPr>
                <w:rFonts w:ascii="Times New Roman" w:hAnsi="Times New Roman"/>
                <w:sz w:val="16"/>
                <w:szCs w:val="16"/>
              </w:rPr>
              <w:t>/</w:t>
            </w:r>
            <w:r w:rsidR="00976A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02D6">
              <w:rPr>
                <w:rFonts w:ascii="Times New Roman" w:hAnsi="Times New Roman"/>
                <w:sz w:val="16"/>
                <w:szCs w:val="16"/>
              </w:rPr>
              <w:t>ино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F02D6">
              <w:rPr>
                <w:rFonts w:ascii="Times New Roman" w:hAnsi="Times New Roman"/>
                <w:sz w:val="16"/>
                <w:szCs w:val="16"/>
              </w:rPr>
              <w:t xml:space="preserve"> документ, удостоверяющ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2F02D6">
              <w:rPr>
                <w:rFonts w:ascii="Times New Roman" w:hAnsi="Times New Roman"/>
                <w:sz w:val="16"/>
                <w:szCs w:val="16"/>
              </w:rPr>
              <w:t xml:space="preserve"> личность в соответствии с законодательством Российской Федерации</w:t>
            </w:r>
          </w:p>
        </w:tc>
      </w:tr>
      <w:tr w:rsidR="00742AE2" w:rsidRPr="00150D82" w:rsidTr="00D33EC2">
        <w:trPr>
          <w:trHeight w:val="131"/>
        </w:trPr>
        <w:tc>
          <w:tcPr>
            <w:tcW w:w="2518" w:type="dxa"/>
            <w:vAlign w:val="center"/>
          </w:tcPr>
          <w:p w:rsidR="00742AE2" w:rsidRPr="00366B97" w:rsidRDefault="00CE55A8" w:rsidP="00924E4C">
            <w:pPr>
              <w:spacing w:after="0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Способ удостоверения права К</w:t>
            </w:r>
            <w:r w:rsidR="00736432">
              <w:rPr>
                <w:rFonts w:ascii="Times New Roman" w:hAnsi="Times New Roman"/>
                <w:b/>
                <w:bCs/>
                <w:sz w:val="16"/>
                <w:szCs w:val="16"/>
              </w:rPr>
              <w:t>лиента на доступ к сейфу и его содержимому</w:t>
            </w:r>
          </w:p>
        </w:tc>
        <w:tc>
          <w:tcPr>
            <w:tcW w:w="7655" w:type="dxa"/>
            <w:vAlign w:val="center"/>
          </w:tcPr>
          <w:p w:rsidR="00742AE2" w:rsidRDefault="00395FE3" w:rsidP="00B72E8F">
            <w:pPr>
              <w:tabs>
                <w:tab w:val="left" w:pos="3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5FE3">
              <w:rPr>
                <w:rFonts w:ascii="Times New Roman" w:hAnsi="Times New Roman"/>
                <w:sz w:val="16"/>
                <w:szCs w:val="16"/>
              </w:rPr>
              <w:t xml:space="preserve">Банк предоставляет доступ к </w:t>
            </w:r>
            <w:r w:rsidR="00B72E8F">
              <w:rPr>
                <w:rFonts w:ascii="Times New Roman" w:hAnsi="Times New Roman"/>
                <w:sz w:val="16"/>
                <w:szCs w:val="16"/>
              </w:rPr>
              <w:t>индивидуальному банковскому сейфу</w:t>
            </w:r>
            <w:r w:rsidRPr="00395FE3">
              <w:rPr>
                <w:rFonts w:ascii="Times New Roman" w:hAnsi="Times New Roman"/>
                <w:sz w:val="16"/>
                <w:szCs w:val="16"/>
              </w:rPr>
              <w:t xml:space="preserve"> Клиенту/Представителю Клиента при предъявлении документа, удостоверяющего личность, доверенности (для Представителя Клиента), ключа от Банковского сейфа, а также после проверки полномочий Клиента/доверенного лица Клиента в порядке, предусмотренном Банком.</w:t>
            </w:r>
          </w:p>
          <w:p w:rsidR="00264502" w:rsidRPr="00366B97" w:rsidRDefault="00264502" w:rsidP="00264502">
            <w:pPr>
              <w:tabs>
                <w:tab w:val="left" w:pos="3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4502">
              <w:rPr>
                <w:rFonts w:ascii="Times New Roman" w:hAnsi="Times New Roman"/>
                <w:sz w:val="16"/>
                <w:szCs w:val="16"/>
              </w:rPr>
              <w:t>В случае заключения Договора аренды индивидуального банковского сейфа с особыми условиями доступа/</w:t>
            </w:r>
            <w:r w:rsidR="005355A1" w:rsidRPr="005355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64502">
              <w:rPr>
                <w:rFonts w:ascii="Times New Roman" w:hAnsi="Times New Roman"/>
                <w:sz w:val="16"/>
                <w:szCs w:val="16"/>
              </w:rPr>
              <w:t>Договора аренды индивидуального банковского сейфа для нескольких физических лиц/</w:t>
            </w:r>
            <w:r w:rsidR="005355A1" w:rsidRPr="005355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64502">
              <w:rPr>
                <w:rFonts w:ascii="Times New Roman" w:hAnsi="Times New Roman"/>
                <w:sz w:val="16"/>
                <w:szCs w:val="16"/>
              </w:rPr>
              <w:t xml:space="preserve">Договора аренды индивидуального банковского сейфа по сделкам с недвижимостью с использованием кредитных средств Банка доступ к </w:t>
            </w:r>
            <w:r>
              <w:rPr>
                <w:rFonts w:ascii="Times New Roman" w:hAnsi="Times New Roman"/>
                <w:sz w:val="16"/>
                <w:szCs w:val="16"/>
              </w:rPr>
              <w:t>индивидуальному банковскому сейфу</w:t>
            </w:r>
            <w:r w:rsidRPr="00264502">
              <w:rPr>
                <w:rFonts w:ascii="Times New Roman" w:hAnsi="Times New Roman"/>
                <w:sz w:val="16"/>
                <w:szCs w:val="16"/>
              </w:rPr>
              <w:t xml:space="preserve"> осуществляется в соответствии с условиями, указанными в соответствующем Договоре.</w:t>
            </w:r>
          </w:p>
        </w:tc>
      </w:tr>
      <w:tr w:rsidR="0078323B" w:rsidRPr="00150D82" w:rsidTr="00D33EC2">
        <w:trPr>
          <w:trHeight w:val="131"/>
        </w:trPr>
        <w:tc>
          <w:tcPr>
            <w:tcW w:w="2518" w:type="dxa"/>
            <w:vAlign w:val="center"/>
          </w:tcPr>
          <w:p w:rsidR="0078323B" w:rsidRDefault="00CE55A8" w:rsidP="001B0BB4">
            <w:pPr>
              <w:spacing w:after="0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Ответственность К</w:t>
            </w:r>
            <w:r w:rsidR="0078323B">
              <w:rPr>
                <w:rFonts w:ascii="Times New Roman" w:hAnsi="Times New Roman"/>
                <w:b/>
                <w:bCs/>
                <w:sz w:val="16"/>
                <w:szCs w:val="16"/>
              </w:rPr>
              <w:t>лиента</w:t>
            </w:r>
          </w:p>
        </w:tc>
        <w:tc>
          <w:tcPr>
            <w:tcW w:w="7655" w:type="dxa"/>
            <w:vAlign w:val="center"/>
          </w:tcPr>
          <w:p w:rsidR="0078323B" w:rsidRPr="00366B97" w:rsidRDefault="00655397" w:rsidP="00F51C20">
            <w:pPr>
              <w:tabs>
                <w:tab w:val="left" w:pos="3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5397">
              <w:rPr>
                <w:rFonts w:ascii="Times New Roman" w:hAnsi="Times New Roman"/>
                <w:sz w:val="16"/>
                <w:szCs w:val="16"/>
              </w:rPr>
              <w:t>В случае неисполнения или ненадлежащего исполнения своих обязательств по Договору Клиент</w:t>
            </w:r>
            <w:r w:rsidR="00F51C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5397">
              <w:rPr>
                <w:rFonts w:ascii="Times New Roman" w:hAnsi="Times New Roman"/>
                <w:sz w:val="16"/>
                <w:szCs w:val="16"/>
              </w:rPr>
              <w:t>возмещает</w:t>
            </w:r>
            <w:r w:rsidR="00F51C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5397">
              <w:rPr>
                <w:rFonts w:ascii="Times New Roman" w:hAnsi="Times New Roman"/>
                <w:sz w:val="16"/>
                <w:szCs w:val="16"/>
              </w:rPr>
              <w:t>Банку причиненные убытки в полном объеме.</w:t>
            </w:r>
          </w:p>
        </w:tc>
      </w:tr>
      <w:tr w:rsidR="0078323B" w:rsidRPr="00150D82" w:rsidTr="00D33EC2">
        <w:trPr>
          <w:trHeight w:val="131"/>
        </w:trPr>
        <w:tc>
          <w:tcPr>
            <w:tcW w:w="2518" w:type="dxa"/>
            <w:vAlign w:val="center"/>
          </w:tcPr>
          <w:p w:rsidR="0078323B" w:rsidRDefault="0078323B" w:rsidP="001B0BB4">
            <w:pPr>
              <w:spacing w:after="0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Продление срока аренды</w:t>
            </w:r>
          </w:p>
        </w:tc>
        <w:tc>
          <w:tcPr>
            <w:tcW w:w="7655" w:type="dxa"/>
            <w:vAlign w:val="center"/>
          </w:tcPr>
          <w:p w:rsidR="0078323B" w:rsidRPr="008A212E" w:rsidRDefault="00583222" w:rsidP="007E2E0D">
            <w:pPr>
              <w:tabs>
                <w:tab w:val="left" w:pos="3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880100">
              <w:rPr>
                <w:rFonts w:ascii="Times New Roman" w:hAnsi="Times New Roman"/>
                <w:sz w:val="16"/>
                <w:szCs w:val="16"/>
              </w:rPr>
              <w:t xml:space="preserve"> течение срока аренды, но не позднее 60 (шестидесятого) календарного дня 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осле окончания срока аренды, </w:t>
            </w:r>
            <w:r w:rsidR="009B60C6" w:rsidRPr="009B60C6">
              <w:rPr>
                <w:rFonts w:ascii="Times New Roman" w:hAnsi="Times New Roman"/>
                <w:sz w:val="16"/>
                <w:szCs w:val="16"/>
              </w:rPr>
              <w:t>Клиент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может обратиться</w:t>
            </w:r>
            <w:r w:rsidR="009B60C6" w:rsidRPr="009B60C6">
              <w:rPr>
                <w:rFonts w:ascii="Times New Roman" w:hAnsi="Times New Roman"/>
                <w:sz w:val="16"/>
                <w:szCs w:val="16"/>
              </w:rPr>
              <w:t xml:space="preserve"> в Банк</w:t>
            </w:r>
            <w:r w:rsidR="00CD08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B56E6">
              <w:rPr>
                <w:rFonts w:ascii="Times New Roman" w:hAnsi="Times New Roman"/>
                <w:sz w:val="16"/>
                <w:szCs w:val="16"/>
              </w:rPr>
              <w:t xml:space="preserve">с целью подписания </w:t>
            </w:r>
            <w:r w:rsidR="009B60C6" w:rsidRPr="009B60C6">
              <w:rPr>
                <w:rFonts w:ascii="Times New Roman" w:hAnsi="Times New Roman"/>
                <w:sz w:val="16"/>
                <w:szCs w:val="16"/>
              </w:rPr>
              <w:t xml:space="preserve">Дополнительного </w:t>
            </w:r>
            <w:r w:rsidR="009B60C6" w:rsidRPr="008A212E">
              <w:rPr>
                <w:rFonts w:ascii="Times New Roman" w:hAnsi="Times New Roman"/>
                <w:sz w:val="16"/>
                <w:szCs w:val="16"/>
              </w:rPr>
              <w:t xml:space="preserve">соглашения </w:t>
            </w:r>
            <w:r w:rsidR="007E2F69" w:rsidRPr="008A212E">
              <w:rPr>
                <w:rFonts w:ascii="Times New Roman" w:hAnsi="Times New Roman"/>
                <w:sz w:val="16"/>
                <w:szCs w:val="16"/>
              </w:rPr>
              <w:t>к Договору аренды о продлении срока арены</w:t>
            </w:r>
            <w:r w:rsidR="000B56E6" w:rsidRPr="008A212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F4F34" w:rsidRPr="00366B97" w:rsidRDefault="002F4F34" w:rsidP="00D3438C">
            <w:pPr>
              <w:tabs>
                <w:tab w:val="left" w:pos="3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212E">
              <w:rPr>
                <w:rFonts w:ascii="Times New Roman" w:hAnsi="Times New Roman"/>
                <w:sz w:val="16"/>
                <w:szCs w:val="16"/>
              </w:rPr>
              <w:t>В случае не продления Договора аренды Банк приостанавливает доступ Клиента</w:t>
            </w:r>
            <w:r w:rsidR="00FC4A75" w:rsidRPr="008A212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FC4A75" w:rsidRPr="008A212E"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r w:rsidRPr="008A212E">
              <w:rPr>
                <w:rFonts w:ascii="Times New Roman" w:hAnsi="Times New Roman"/>
                <w:sz w:val="16"/>
                <w:szCs w:val="16"/>
              </w:rPr>
              <w:t xml:space="preserve"> индивидуальному</w:t>
            </w:r>
            <w:proofErr w:type="gramEnd"/>
            <w:r w:rsidRPr="008A212E">
              <w:rPr>
                <w:rFonts w:ascii="Times New Roman" w:hAnsi="Times New Roman"/>
                <w:sz w:val="16"/>
                <w:szCs w:val="16"/>
              </w:rPr>
              <w:t xml:space="preserve"> банковскому сейфу до погашения им задолженности по арендной плате</w:t>
            </w:r>
            <w:r w:rsidR="00D3438C" w:rsidRPr="008A212E">
              <w:rPr>
                <w:rFonts w:ascii="Times New Roman" w:hAnsi="Times New Roman"/>
                <w:sz w:val="16"/>
                <w:szCs w:val="16"/>
              </w:rPr>
              <w:t>. По</w:t>
            </w:r>
            <w:r w:rsidR="00DD4D23" w:rsidRPr="008A212E">
              <w:rPr>
                <w:rFonts w:ascii="Times New Roman" w:hAnsi="Times New Roman"/>
                <w:sz w:val="16"/>
                <w:szCs w:val="16"/>
              </w:rPr>
              <w:t xml:space="preserve"> истечении 60 (шестидесяти) календарных дней со дня, следующего за днем окончания срока аренды, </w:t>
            </w:r>
            <w:r w:rsidR="008A47E3" w:rsidRPr="008A212E">
              <w:rPr>
                <w:rFonts w:ascii="Times New Roman" w:hAnsi="Times New Roman"/>
                <w:sz w:val="16"/>
                <w:szCs w:val="16"/>
              </w:rPr>
              <w:t>Банк имеет право вскрыть индивидуальный банковский сейф.</w:t>
            </w:r>
          </w:p>
        </w:tc>
      </w:tr>
      <w:tr w:rsidR="0078323B" w:rsidRPr="00150D82" w:rsidTr="00D33EC2">
        <w:trPr>
          <w:trHeight w:val="131"/>
        </w:trPr>
        <w:tc>
          <w:tcPr>
            <w:tcW w:w="2518" w:type="dxa"/>
            <w:vAlign w:val="center"/>
          </w:tcPr>
          <w:p w:rsidR="0078323B" w:rsidRDefault="0078323B" w:rsidP="00924E4C">
            <w:pPr>
              <w:spacing w:after="0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Основания досрочного вскрытия сейфа</w:t>
            </w:r>
          </w:p>
        </w:tc>
        <w:tc>
          <w:tcPr>
            <w:tcW w:w="7655" w:type="dxa"/>
            <w:vAlign w:val="center"/>
          </w:tcPr>
          <w:p w:rsidR="005355A1" w:rsidRPr="005355A1" w:rsidRDefault="005355A1" w:rsidP="005355A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Банк имеет право досрочно вскрыть сейф</w:t>
            </w:r>
            <w:r w:rsidR="00B03E4B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без присутствия Клиента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следующих случаях:</w:t>
            </w:r>
          </w:p>
          <w:p w:rsidR="00285C88" w:rsidRPr="0040096E" w:rsidRDefault="005355A1" w:rsidP="00D33EC2">
            <w:pPr>
              <w:pStyle w:val="aa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312" w:hanging="28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A476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476DD" w:rsidRPr="0040096E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случае возникновения обстоятельств непреодолимой силы, а также в случае </w:t>
            </w:r>
            <w:r w:rsidR="00285C88" w:rsidRPr="0040096E">
              <w:rPr>
                <w:rFonts w:ascii="Times New Roman" w:hAnsi="Times New Roman"/>
                <w:bCs/>
                <w:iCs/>
                <w:sz w:val="16"/>
                <w:szCs w:val="16"/>
              </w:rPr>
              <w:t>помещения</w:t>
            </w:r>
            <w:r w:rsidR="00A476DD" w:rsidRPr="0040096E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Клиентом </w:t>
            </w:r>
            <w:r w:rsidR="00285C88" w:rsidRPr="0040096E">
              <w:rPr>
                <w:rFonts w:ascii="Times New Roman" w:hAnsi="Times New Roman"/>
                <w:bCs/>
                <w:iCs/>
                <w:sz w:val="16"/>
                <w:szCs w:val="16"/>
              </w:rPr>
              <w:t>запрещенных к хранению вещей;</w:t>
            </w:r>
          </w:p>
          <w:p w:rsidR="0078323B" w:rsidRPr="00366B97" w:rsidRDefault="007B24AB" w:rsidP="00D33EC2">
            <w:pPr>
              <w:pStyle w:val="aa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312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096E">
              <w:rPr>
                <w:rFonts w:ascii="Times New Roman" w:hAnsi="Times New Roman"/>
                <w:bCs/>
                <w:iCs/>
                <w:sz w:val="16"/>
                <w:szCs w:val="16"/>
              </w:rPr>
              <w:t>в случае получения запросов нотариусов, а также соответствующих актов, оформленных компетентными государственными</w:t>
            </w:r>
            <w:r w:rsidRPr="007B24AB">
              <w:rPr>
                <w:rFonts w:ascii="Times New Roman" w:hAnsi="Times New Roman"/>
                <w:sz w:val="16"/>
                <w:szCs w:val="16"/>
              </w:rPr>
              <w:t xml:space="preserve"> органами в соответствии с действующим законодательством Российской Федерации.</w:t>
            </w:r>
          </w:p>
        </w:tc>
      </w:tr>
      <w:tr w:rsidR="0078323B" w:rsidRPr="00150D82" w:rsidTr="00D33EC2">
        <w:trPr>
          <w:trHeight w:val="131"/>
        </w:trPr>
        <w:tc>
          <w:tcPr>
            <w:tcW w:w="2518" w:type="dxa"/>
            <w:vAlign w:val="center"/>
          </w:tcPr>
          <w:p w:rsidR="0078323B" w:rsidRDefault="00343A9A" w:rsidP="001B0BB4">
            <w:pPr>
              <w:spacing w:after="0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Ответственность Банка за сохранность вещей</w:t>
            </w:r>
          </w:p>
        </w:tc>
        <w:tc>
          <w:tcPr>
            <w:tcW w:w="7655" w:type="dxa"/>
            <w:vAlign w:val="center"/>
          </w:tcPr>
          <w:p w:rsidR="0078323B" w:rsidRPr="00366B97" w:rsidRDefault="004B45F0" w:rsidP="00D33EC2">
            <w:pPr>
              <w:tabs>
                <w:tab w:val="left" w:pos="3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Банк несет ответственность за доступ к</w:t>
            </w:r>
            <w:r w:rsidR="00254F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сейфу уполномоченных лиц и за целостность сейфа, но не несет ответственности за сохранность вещей, размещенных в сейфе.</w:t>
            </w:r>
          </w:p>
        </w:tc>
      </w:tr>
      <w:tr w:rsidR="00742AE2" w:rsidRPr="00150D82" w:rsidTr="006976BC">
        <w:trPr>
          <w:trHeight w:val="182"/>
        </w:trPr>
        <w:tc>
          <w:tcPr>
            <w:tcW w:w="10173" w:type="dxa"/>
            <w:gridSpan w:val="2"/>
            <w:vAlign w:val="center"/>
          </w:tcPr>
          <w:p w:rsidR="00742AE2" w:rsidRPr="00366B97" w:rsidRDefault="00742AE2" w:rsidP="006976BC">
            <w:pPr>
              <w:tabs>
                <w:tab w:val="left" w:pos="32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366B9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РАСХОДЫ ПОТРЕБИТЕЛЯ</w:t>
            </w:r>
          </w:p>
        </w:tc>
      </w:tr>
      <w:tr w:rsidR="00742AE2" w:rsidRPr="00FF0FAF" w:rsidTr="006976BC">
        <w:tc>
          <w:tcPr>
            <w:tcW w:w="10173" w:type="dxa"/>
            <w:gridSpan w:val="2"/>
            <w:vAlign w:val="center"/>
          </w:tcPr>
          <w:p w:rsidR="00742AE2" w:rsidRDefault="00782687" w:rsidP="00782687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2687">
              <w:rPr>
                <w:rFonts w:ascii="Times New Roman" w:hAnsi="Times New Roman"/>
                <w:sz w:val="16"/>
                <w:szCs w:val="16"/>
              </w:rPr>
              <w:t xml:space="preserve">Арендная плата по Договору </w:t>
            </w:r>
            <w:r w:rsidR="00482234">
              <w:rPr>
                <w:rFonts w:ascii="Times New Roman" w:hAnsi="Times New Roman"/>
                <w:sz w:val="16"/>
                <w:szCs w:val="16"/>
              </w:rPr>
              <w:t xml:space="preserve">аренды </w:t>
            </w:r>
            <w:r w:rsidRPr="00782687">
              <w:rPr>
                <w:rFonts w:ascii="Times New Roman" w:hAnsi="Times New Roman"/>
                <w:sz w:val="16"/>
                <w:szCs w:val="16"/>
              </w:rPr>
              <w:t xml:space="preserve">вносится Клиентом единовременно, за весь период аренды </w:t>
            </w:r>
            <w:r>
              <w:rPr>
                <w:rFonts w:ascii="Times New Roman" w:hAnsi="Times New Roman"/>
                <w:sz w:val="16"/>
                <w:szCs w:val="16"/>
              </w:rPr>
              <w:t>индивидуального б</w:t>
            </w:r>
            <w:r w:rsidRPr="00782687">
              <w:rPr>
                <w:rFonts w:ascii="Times New Roman" w:hAnsi="Times New Roman"/>
                <w:sz w:val="16"/>
                <w:szCs w:val="16"/>
              </w:rPr>
              <w:t>анковского сейфа</w:t>
            </w:r>
            <w:r w:rsidR="00482234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482234" w:rsidRPr="003300B9" w:rsidRDefault="003300B9" w:rsidP="00D33EC2">
            <w:pPr>
              <w:pStyle w:val="aa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312" w:hanging="28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723CFE">
              <w:rPr>
                <w:rFonts w:ascii="Times New Roman" w:hAnsi="Times New Roman"/>
                <w:bCs/>
                <w:iCs/>
                <w:sz w:val="16"/>
                <w:szCs w:val="16"/>
              </w:rPr>
              <w:t>п</w:t>
            </w:r>
            <w:r w:rsidR="00482234" w:rsidRPr="00723CFE">
              <w:rPr>
                <w:rFonts w:ascii="Times New Roman" w:hAnsi="Times New Roman"/>
                <w:bCs/>
                <w:iCs/>
                <w:sz w:val="16"/>
                <w:szCs w:val="16"/>
              </w:rPr>
              <w:t>р</w:t>
            </w:r>
            <w:r w:rsidR="00482234" w:rsidRPr="003300B9">
              <w:rPr>
                <w:rFonts w:ascii="Times New Roman" w:hAnsi="Times New Roman"/>
                <w:bCs/>
                <w:iCs/>
                <w:sz w:val="16"/>
                <w:szCs w:val="16"/>
              </w:rPr>
              <w:t>и заключении Договора</w:t>
            </w:r>
            <w:r w:rsidR="002551A2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аренды</w:t>
            </w:r>
            <w:r w:rsidR="00CC1CE7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 w:rsidR="00CC1CE7" w:rsidRPr="00CC1CE7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 день подписания Договора аренды </w:t>
            </w:r>
            <w:r w:rsidR="00CC1CE7">
              <w:rPr>
                <w:rFonts w:ascii="Times New Roman" w:hAnsi="Times New Roman"/>
                <w:bCs/>
                <w:iCs/>
                <w:sz w:val="16"/>
                <w:szCs w:val="16"/>
              </w:rPr>
              <w:t>индивидуального банковского сейфа;</w:t>
            </w:r>
          </w:p>
          <w:p w:rsidR="00482234" w:rsidRPr="008E6BBA" w:rsidRDefault="003300B9" w:rsidP="00D33EC2">
            <w:pPr>
              <w:pStyle w:val="aa"/>
              <w:numPr>
                <w:ilvl w:val="0"/>
                <w:numId w:val="3"/>
              </w:numPr>
              <w:tabs>
                <w:tab w:val="left" w:pos="321"/>
              </w:tabs>
              <w:spacing w:after="0" w:line="240" w:lineRule="auto"/>
              <w:ind w:left="312" w:hanging="28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3300B9">
              <w:rPr>
                <w:rFonts w:ascii="Times New Roman" w:hAnsi="Times New Roman"/>
                <w:bCs/>
                <w:iCs/>
                <w:sz w:val="16"/>
                <w:szCs w:val="16"/>
              </w:rPr>
              <w:t>п</w:t>
            </w:r>
            <w:r w:rsidR="00482234" w:rsidRPr="003300B9">
              <w:rPr>
                <w:rFonts w:ascii="Times New Roman" w:hAnsi="Times New Roman"/>
                <w:bCs/>
                <w:iCs/>
                <w:sz w:val="16"/>
                <w:szCs w:val="16"/>
              </w:rPr>
              <w:t>ри</w:t>
            </w:r>
            <w:r w:rsidR="00482234" w:rsidRPr="00723CFE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продлении Договора</w:t>
            </w:r>
            <w:r w:rsidR="002551A2" w:rsidRPr="00723CFE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аренды</w:t>
            </w:r>
            <w:r w:rsidR="00482234" w:rsidRPr="00D33EC2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 w:rsidR="00482234" w:rsidRPr="00723CFE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 день подписания Сторонами </w:t>
            </w:r>
            <w:r w:rsidR="00F42580" w:rsidRPr="00723CFE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="00482234" w:rsidRPr="00723CFE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ополнительного соглашения к </w:t>
            </w:r>
            <w:r w:rsidR="00F42580" w:rsidRPr="000457D4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="00482234" w:rsidRPr="00883427">
              <w:rPr>
                <w:rFonts w:ascii="Times New Roman" w:hAnsi="Times New Roman"/>
                <w:bCs/>
                <w:iCs/>
                <w:sz w:val="16"/>
                <w:szCs w:val="16"/>
              </w:rPr>
              <w:t>оговору</w:t>
            </w:r>
            <w:r w:rsidR="00F42580" w:rsidRPr="00883427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аренды</w:t>
            </w:r>
            <w:r w:rsidR="00482234" w:rsidRPr="00883427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о продлении срока аренды</w:t>
            </w:r>
          </w:p>
          <w:p w:rsidR="00C1781E" w:rsidRPr="00C1781E" w:rsidRDefault="00C1781E" w:rsidP="006C47C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соответствии с </w:t>
            </w:r>
            <w:r w:rsidR="0064206B" w:rsidRPr="0064206B">
              <w:rPr>
                <w:rFonts w:ascii="Times New Roman" w:hAnsi="Times New Roman"/>
                <w:sz w:val="16"/>
                <w:szCs w:val="16"/>
              </w:rPr>
              <w:t>Тар</w:t>
            </w:r>
            <w:r w:rsidR="0064206B">
              <w:rPr>
                <w:rFonts w:ascii="Times New Roman" w:hAnsi="Times New Roman"/>
                <w:sz w:val="16"/>
                <w:szCs w:val="16"/>
              </w:rPr>
              <w:t>ифами</w:t>
            </w:r>
            <w:r w:rsidR="0064206B" w:rsidRPr="0064206B">
              <w:rPr>
                <w:rFonts w:ascii="Times New Roman" w:hAnsi="Times New Roman"/>
                <w:sz w:val="16"/>
                <w:szCs w:val="16"/>
              </w:rPr>
              <w:t xml:space="preserve"> по предоставлению в аренду физическим лицам индивидуальных банковских сейфов в АО КБ </w:t>
            </w:r>
            <w:r w:rsidR="00FD219C">
              <w:rPr>
                <w:rFonts w:ascii="Times New Roman" w:hAnsi="Times New Roman"/>
                <w:sz w:val="16"/>
                <w:szCs w:val="16"/>
              </w:rPr>
              <w:t>«</w:t>
            </w:r>
            <w:r w:rsidR="0064206B" w:rsidRPr="0064206B">
              <w:rPr>
                <w:rFonts w:ascii="Times New Roman" w:hAnsi="Times New Roman"/>
                <w:sz w:val="16"/>
                <w:szCs w:val="16"/>
              </w:rPr>
              <w:t>Солидарность</w:t>
            </w:r>
            <w:r w:rsidR="00FD219C">
              <w:rPr>
                <w:rFonts w:ascii="Times New Roman" w:hAnsi="Times New Roman"/>
                <w:sz w:val="16"/>
                <w:szCs w:val="16"/>
              </w:rPr>
              <w:t>»</w:t>
            </w:r>
            <w:r w:rsidR="0064206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42AE2" w:rsidRPr="00FF0FAF" w:rsidTr="006976BC">
        <w:trPr>
          <w:trHeight w:val="102"/>
        </w:trPr>
        <w:tc>
          <w:tcPr>
            <w:tcW w:w="10173" w:type="dxa"/>
            <w:gridSpan w:val="2"/>
            <w:vAlign w:val="center"/>
          </w:tcPr>
          <w:p w:rsidR="00742AE2" w:rsidRPr="00366B97" w:rsidDel="00B81432" w:rsidRDefault="00742AE2" w:rsidP="006976BC">
            <w:pPr>
              <w:pStyle w:val="3"/>
              <w:contextualSpacing/>
              <w:jc w:val="center"/>
              <w:rPr>
                <w:b/>
                <w:i w:val="0"/>
                <w:iCs w:val="0"/>
                <w:color w:val="auto"/>
                <w:sz w:val="16"/>
                <w:szCs w:val="16"/>
                <w:lang w:eastAsia="ru-RU"/>
              </w:rPr>
            </w:pPr>
            <w:r w:rsidRPr="00366B97">
              <w:rPr>
                <w:b/>
                <w:i w:val="0"/>
                <w:iCs w:val="0"/>
                <w:color w:val="auto"/>
                <w:sz w:val="16"/>
                <w:szCs w:val="16"/>
                <w:lang w:eastAsia="ru-RU"/>
              </w:rPr>
              <w:t>Способы направления обращений в Банк</w:t>
            </w:r>
          </w:p>
        </w:tc>
      </w:tr>
      <w:tr w:rsidR="00742AE2" w:rsidRPr="00FF0FAF" w:rsidTr="006976BC">
        <w:trPr>
          <w:trHeight w:val="267"/>
        </w:trPr>
        <w:tc>
          <w:tcPr>
            <w:tcW w:w="10173" w:type="dxa"/>
            <w:gridSpan w:val="2"/>
            <w:vAlign w:val="center"/>
          </w:tcPr>
          <w:p w:rsidR="00B26B4D" w:rsidRPr="00367FD6" w:rsidRDefault="00B26B4D" w:rsidP="00B26B4D">
            <w:pPr>
              <w:pStyle w:val="3"/>
              <w:numPr>
                <w:ilvl w:val="0"/>
                <w:numId w:val="2"/>
              </w:numPr>
              <w:ind w:left="284" w:hanging="284"/>
              <w:contextualSpacing/>
              <w:rPr>
                <w:i w:val="0"/>
                <w:sz w:val="16"/>
                <w:szCs w:val="16"/>
              </w:rPr>
            </w:pPr>
            <w:r w:rsidRPr="001732EA">
              <w:rPr>
                <w:i w:val="0"/>
                <w:iCs w:val="0"/>
                <w:color w:val="auto"/>
                <w:sz w:val="16"/>
                <w:szCs w:val="16"/>
                <w:lang w:eastAsia="ru-RU"/>
              </w:rPr>
              <w:t>Контактный</w:t>
            </w:r>
            <w:r w:rsidRPr="00367FD6">
              <w:rPr>
                <w:i w:val="0"/>
                <w:sz w:val="16"/>
                <w:szCs w:val="16"/>
              </w:rPr>
              <w:t xml:space="preserve"> телефон: 8-800-700-92-20</w:t>
            </w:r>
            <w:r>
              <w:rPr>
                <w:i w:val="0"/>
                <w:sz w:val="16"/>
                <w:szCs w:val="16"/>
              </w:rPr>
              <w:t>;</w:t>
            </w:r>
          </w:p>
          <w:p w:rsidR="00B26B4D" w:rsidRDefault="00B26B4D" w:rsidP="00B26B4D">
            <w:pPr>
              <w:pStyle w:val="3"/>
              <w:numPr>
                <w:ilvl w:val="0"/>
                <w:numId w:val="2"/>
              </w:numPr>
              <w:ind w:left="284" w:hanging="284"/>
              <w:contextualSpacing/>
              <w:rPr>
                <w:i w:val="0"/>
                <w:sz w:val="16"/>
                <w:szCs w:val="16"/>
              </w:rPr>
            </w:pPr>
            <w:r w:rsidRPr="001732EA">
              <w:rPr>
                <w:i w:val="0"/>
                <w:iCs w:val="0"/>
                <w:color w:val="auto"/>
                <w:sz w:val="16"/>
                <w:szCs w:val="16"/>
                <w:lang w:eastAsia="ru-RU"/>
              </w:rPr>
              <w:t>Форма</w:t>
            </w:r>
            <w:r>
              <w:rPr>
                <w:i w:val="0"/>
                <w:sz w:val="16"/>
                <w:szCs w:val="16"/>
              </w:rPr>
              <w:t xml:space="preserve"> обратной связи: </w:t>
            </w:r>
            <w:r w:rsidR="001B05C9" w:rsidRPr="00D33EC2">
              <w:rPr>
                <w:rStyle w:val="ab"/>
                <w:rFonts w:eastAsia="Calibri"/>
                <w:i w:val="0"/>
                <w:iCs w:val="0"/>
                <w:sz w:val="16"/>
                <w:szCs w:val="16"/>
                <w:lang w:val="en-US"/>
              </w:rPr>
              <w:t>https</w:t>
            </w:r>
            <w:r w:rsidR="001B05C9" w:rsidRPr="00D33EC2">
              <w:rPr>
                <w:rStyle w:val="ab"/>
                <w:rFonts w:eastAsia="Calibri"/>
                <w:i w:val="0"/>
                <w:iCs w:val="0"/>
                <w:sz w:val="16"/>
                <w:szCs w:val="16"/>
              </w:rPr>
              <w:t>://</w:t>
            </w:r>
            <w:r w:rsidR="001B05C9" w:rsidRPr="00D33EC2">
              <w:rPr>
                <w:rStyle w:val="ab"/>
                <w:rFonts w:eastAsia="Calibri"/>
                <w:i w:val="0"/>
                <w:iCs w:val="0"/>
                <w:sz w:val="16"/>
                <w:szCs w:val="16"/>
                <w:lang w:val="en-US"/>
              </w:rPr>
              <w:t>solid</w:t>
            </w:r>
            <w:r w:rsidR="001B05C9" w:rsidRPr="00D33EC2">
              <w:rPr>
                <w:rStyle w:val="ab"/>
                <w:rFonts w:eastAsia="Calibri"/>
                <w:i w:val="0"/>
                <w:iCs w:val="0"/>
                <w:sz w:val="16"/>
                <w:szCs w:val="16"/>
              </w:rPr>
              <w:t>.</w:t>
            </w:r>
            <w:proofErr w:type="spellStart"/>
            <w:r w:rsidR="001B05C9" w:rsidRPr="00D33EC2">
              <w:rPr>
                <w:rStyle w:val="ab"/>
                <w:rFonts w:eastAsia="Calibri"/>
                <w:i w:val="0"/>
                <w:iCs w:val="0"/>
                <w:sz w:val="16"/>
                <w:szCs w:val="16"/>
                <w:lang w:val="en-US"/>
              </w:rPr>
              <w:t>ru</w:t>
            </w:r>
            <w:proofErr w:type="spellEnd"/>
            <w:r w:rsidR="001B05C9" w:rsidRPr="00D33EC2">
              <w:rPr>
                <w:rStyle w:val="ab"/>
                <w:rFonts w:eastAsia="Calibri"/>
                <w:i w:val="0"/>
                <w:iCs w:val="0"/>
                <w:sz w:val="16"/>
                <w:szCs w:val="16"/>
              </w:rPr>
              <w:t>/</w:t>
            </w:r>
            <w:r w:rsidR="001B05C9" w:rsidRPr="00D33EC2">
              <w:rPr>
                <w:rStyle w:val="ab"/>
                <w:rFonts w:eastAsia="Calibri"/>
                <w:i w:val="0"/>
                <w:iCs w:val="0"/>
                <w:sz w:val="16"/>
                <w:szCs w:val="16"/>
                <w:lang w:val="en-US"/>
              </w:rPr>
              <w:t>mail</w:t>
            </w:r>
            <w:r w:rsidRPr="00D33EC2">
              <w:rPr>
                <w:rStyle w:val="ab"/>
                <w:rFonts w:eastAsia="Calibri"/>
                <w:i w:val="0"/>
                <w:iCs w:val="0"/>
                <w:sz w:val="16"/>
                <w:szCs w:val="16"/>
              </w:rPr>
              <w:t>;</w:t>
            </w:r>
          </w:p>
          <w:p w:rsidR="00B26B4D" w:rsidRPr="001732EA" w:rsidRDefault="00B26B4D" w:rsidP="00B26B4D">
            <w:pPr>
              <w:pStyle w:val="3"/>
              <w:numPr>
                <w:ilvl w:val="0"/>
                <w:numId w:val="2"/>
              </w:numPr>
              <w:ind w:left="284" w:hanging="284"/>
              <w:contextualSpacing/>
              <w:rPr>
                <w:i w:val="0"/>
                <w:iCs w:val="0"/>
                <w:color w:val="auto"/>
                <w:sz w:val="16"/>
                <w:szCs w:val="16"/>
                <w:lang w:eastAsia="ru-RU"/>
              </w:rPr>
            </w:pPr>
            <w:r w:rsidRPr="001732EA">
              <w:rPr>
                <w:i w:val="0"/>
                <w:iCs w:val="0"/>
                <w:color w:val="auto"/>
                <w:sz w:val="16"/>
                <w:szCs w:val="16"/>
                <w:lang w:eastAsia="ru-RU"/>
              </w:rPr>
              <w:t xml:space="preserve">Чат Банка через системы ДБО Банка: «Интернет-Банк»/ «Солидарность Онлайн»; </w:t>
            </w:r>
          </w:p>
          <w:p w:rsidR="00B26B4D" w:rsidRDefault="00B26B4D" w:rsidP="00B26B4D">
            <w:pPr>
              <w:pStyle w:val="3"/>
              <w:numPr>
                <w:ilvl w:val="0"/>
                <w:numId w:val="2"/>
              </w:numPr>
              <w:ind w:left="284" w:hanging="284"/>
              <w:contextualSpacing/>
              <w:rPr>
                <w:i w:val="0"/>
                <w:iCs w:val="0"/>
                <w:color w:val="auto"/>
                <w:sz w:val="16"/>
                <w:szCs w:val="16"/>
                <w:lang w:eastAsia="ru-RU"/>
              </w:rPr>
            </w:pPr>
            <w:r w:rsidRPr="001732EA">
              <w:rPr>
                <w:i w:val="0"/>
                <w:iCs w:val="0"/>
                <w:color w:val="auto"/>
                <w:sz w:val="16"/>
                <w:szCs w:val="16"/>
                <w:lang w:eastAsia="ru-RU"/>
              </w:rPr>
              <w:t>Лично в офис Банка;</w:t>
            </w:r>
          </w:p>
          <w:p w:rsidR="00B26B4D" w:rsidRPr="001732EA" w:rsidRDefault="00B26B4D" w:rsidP="00B26B4D">
            <w:pPr>
              <w:pStyle w:val="3"/>
              <w:numPr>
                <w:ilvl w:val="0"/>
                <w:numId w:val="2"/>
              </w:numPr>
              <w:ind w:left="284" w:hanging="284"/>
              <w:contextualSpacing/>
              <w:rPr>
                <w:i w:val="0"/>
                <w:iCs w:val="0"/>
                <w:color w:val="auto"/>
                <w:sz w:val="16"/>
                <w:szCs w:val="16"/>
                <w:lang w:eastAsia="ru-RU"/>
              </w:rPr>
            </w:pPr>
            <w:r>
              <w:rPr>
                <w:i w:val="0"/>
                <w:iCs w:val="0"/>
                <w:color w:val="auto"/>
                <w:sz w:val="16"/>
                <w:szCs w:val="16"/>
                <w:lang w:eastAsia="ru-RU"/>
              </w:rPr>
              <w:t xml:space="preserve">Почтовые </w:t>
            </w:r>
            <w:r w:rsidRPr="001732EA">
              <w:rPr>
                <w:i w:val="0"/>
                <w:iCs w:val="0"/>
                <w:color w:val="auto"/>
                <w:sz w:val="16"/>
                <w:szCs w:val="16"/>
                <w:lang w:eastAsia="ru-RU"/>
              </w:rPr>
              <w:t>отправления через организации почтовой связи.</w:t>
            </w:r>
          </w:p>
          <w:p w:rsidR="00742AE2" w:rsidRPr="00366B97" w:rsidRDefault="00742AE2" w:rsidP="006976BC">
            <w:pPr>
              <w:pStyle w:val="3"/>
              <w:contextualSpacing/>
              <w:rPr>
                <w:i w:val="0"/>
                <w:sz w:val="16"/>
                <w:szCs w:val="16"/>
              </w:rPr>
            </w:pPr>
          </w:p>
        </w:tc>
      </w:tr>
    </w:tbl>
    <w:p w:rsidR="00B02A34" w:rsidRPr="00E65863" w:rsidRDefault="00B02A34" w:rsidP="00127BEF">
      <w:pPr>
        <w:jc w:val="right"/>
        <w:rPr>
          <w:rFonts w:ascii="Times New Roman" w:hAnsi="Times New Roman"/>
        </w:rPr>
      </w:pPr>
    </w:p>
    <w:p w:rsidR="00BF65DB" w:rsidRDefault="00BF65DB" w:rsidP="008517A8">
      <w:pPr>
        <w:jc w:val="right"/>
        <w:rPr>
          <w:rFonts w:ascii="Times New Roman" w:hAnsi="Times New Roman"/>
          <w:color w:val="FF0000"/>
        </w:rPr>
      </w:pPr>
    </w:p>
    <w:sectPr w:rsidR="00BF65DB" w:rsidSect="00D33EC2">
      <w:pgSz w:w="11906" w:h="16838"/>
      <w:pgMar w:top="709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747B8"/>
    <w:multiLevelType w:val="hybridMultilevel"/>
    <w:tmpl w:val="1F38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114F"/>
    <w:multiLevelType w:val="hybridMultilevel"/>
    <w:tmpl w:val="5328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75544"/>
    <w:multiLevelType w:val="hybridMultilevel"/>
    <w:tmpl w:val="813EC266"/>
    <w:lvl w:ilvl="0" w:tplc="713A3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68"/>
    <w:rsid w:val="000030B6"/>
    <w:rsid w:val="00015394"/>
    <w:rsid w:val="00016F71"/>
    <w:rsid w:val="00024745"/>
    <w:rsid w:val="00035B2E"/>
    <w:rsid w:val="0003616C"/>
    <w:rsid w:val="00036D77"/>
    <w:rsid w:val="000457D4"/>
    <w:rsid w:val="0005683D"/>
    <w:rsid w:val="000A3D1F"/>
    <w:rsid w:val="000A79D9"/>
    <w:rsid w:val="000B56E6"/>
    <w:rsid w:val="000B7C5F"/>
    <w:rsid w:val="000D7318"/>
    <w:rsid w:val="000E5463"/>
    <w:rsid w:val="000F6708"/>
    <w:rsid w:val="000F7A96"/>
    <w:rsid w:val="001107F7"/>
    <w:rsid w:val="00111EB3"/>
    <w:rsid w:val="00127BEF"/>
    <w:rsid w:val="0013328C"/>
    <w:rsid w:val="001379C3"/>
    <w:rsid w:val="001406B7"/>
    <w:rsid w:val="00147CA0"/>
    <w:rsid w:val="00153F9D"/>
    <w:rsid w:val="00167938"/>
    <w:rsid w:val="001725B4"/>
    <w:rsid w:val="00183F17"/>
    <w:rsid w:val="001872F1"/>
    <w:rsid w:val="00191C0B"/>
    <w:rsid w:val="001A37CB"/>
    <w:rsid w:val="001A4C2F"/>
    <w:rsid w:val="001A6517"/>
    <w:rsid w:val="001B05C9"/>
    <w:rsid w:val="001B0BB4"/>
    <w:rsid w:val="001C4C4C"/>
    <w:rsid w:val="001D3A18"/>
    <w:rsid w:val="001E1B0D"/>
    <w:rsid w:val="001F21F0"/>
    <w:rsid w:val="001F5461"/>
    <w:rsid w:val="00210DFB"/>
    <w:rsid w:val="00236F97"/>
    <w:rsid w:val="00254F9C"/>
    <w:rsid w:val="002551A2"/>
    <w:rsid w:val="002567BB"/>
    <w:rsid w:val="0026205A"/>
    <w:rsid w:val="00263C56"/>
    <w:rsid w:val="00264502"/>
    <w:rsid w:val="002710E4"/>
    <w:rsid w:val="00272152"/>
    <w:rsid w:val="00275EE7"/>
    <w:rsid w:val="00285C88"/>
    <w:rsid w:val="002939FA"/>
    <w:rsid w:val="00297C94"/>
    <w:rsid w:val="002A4127"/>
    <w:rsid w:val="002B285F"/>
    <w:rsid w:val="002B3AC1"/>
    <w:rsid w:val="002B7706"/>
    <w:rsid w:val="002D53F6"/>
    <w:rsid w:val="002F02D6"/>
    <w:rsid w:val="002F4F34"/>
    <w:rsid w:val="00302A4B"/>
    <w:rsid w:val="00305B2C"/>
    <w:rsid w:val="00307F1F"/>
    <w:rsid w:val="00320A0B"/>
    <w:rsid w:val="00326100"/>
    <w:rsid w:val="003300B9"/>
    <w:rsid w:val="00343A9A"/>
    <w:rsid w:val="003471B6"/>
    <w:rsid w:val="00347745"/>
    <w:rsid w:val="0035421E"/>
    <w:rsid w:val="003772CF"/>
    <w:rsid w:val="0039140E"/>
    <w:rsid w:val="00395FE3"/>
    <w:rsid w:val="003A1417"/>
    <w:rsid w:val="003A2732"/>
    <w:rsid w:val="003A3631"/>
    <w:rsid w:val="003B518F"/>
    <w:rsid w:val="003B7513"/>
    <w:rsid w:val="003E33D8"/>
    <w:rsid w:val="003F4EF1"/>
    <w:rsid w:val="003F6943"/>
    <w:rsid w:val="0040096E"/>
    <w:rsid w:val="00403E8D"/>
    <w:rsid w:val="004110CB"/>
    <w:rsid w:val="00414C09"/>
    <w:rsid w:val="00417270"/>
    <w:rsid w:val="0042186F"/>
    <w:rsid w:val="00436812"/>
    <w:rsid w:val="00440630"/>
    <w:rsid w:val="004453EB"/>
    <w:rsid w:val="00445DBD"/>
    <w:rsid w:val="00452E2D"/>
    <w:rsid w:val="00456CAD"/>
    <w:rsid w:val="00463D32"/>
    <w:rsid w:val="00482234"/>
    <w:rsid w:val="00484E34"/>
    <w:rsid w:val="004A41A4"/>
    <w:rsid w:val="004B45F0"/>
    <w:rsid w:val="004B5CF8"/>
    <w:rsid w:val="004B5EC6"/>
    <w:rsid w:val="004C0FAD"/>
    <w:rsid w:val="004D04D3"/>
    <w:rsid w:val="004D6894"/>
    <w:rsid w:val="004E0D79"/>
    <w:rsid w:val="004E3DC2"/>
    <w:rsid w:val="004E6382"/>
    <w:rsid w:val="004F384D"/>
    <w:rsid w:val="00505915"/>
    <w:rsid w:val="00515E23"/>
    <w:rsid w:val="0052118E"/>
    <w:rsid w:val="0053062E"/>
    <w:rsid w:val="005355A1"/>
    <w:rsid w:val="0055655E"/>
    <w:rsid w:val="0057228C"/>
    <w:rsid w:val="00581D25"/>
    <w:rsid w:val="00583222"/>
    <w:rsid w:val="00592B1F"/>
    <w:rsid w:val="005C16D6"/>
    <w:rsid w:val="005C64FE"/>
    <w:rsid w:val="005C7667"/>
    <w:rsid w:val="005D4B6C"/>
    <w:rsid w:val="005E7579"/>
    <w:rsid w:val="005F0B5E"/>
    <w:rsid w:val="005F41A5"/>
    <w:rsid w:val="005F5909"/>
    <w:rsid w:val="006002E0"/>
    <w:rsid w:val="00607617"/>
    <w:rsid w:val="00622E33"/>
    <w:rsid w:val="00630B61"/>
    <w:rsid w:val="00631328"/>
    <w:rsid w:val="00637E02"/>
    <w:rsid w:val="0064206B"/>
    <w:rsid w:val="00652F4A"/>
    <w:rsid w:val="00655397"/>
    <w:rsid w:val="00675D29"/>
    <w:rsid w:val="006821B4"/>
    <w:rsid w:val="00690430"/>
    <w:rsid w:val="006A12F9"/>
    <w:rsid w:val="006A5079"/>
    <w:rsid w:val="006A71F0"/>
    <w:rsid w:val="006B71ED"/>
    <w:rsid w:val="006C47C5"/>
    <w:rsid w:val="006C47CB"/>
    <w:rsid w:val="006D0CE4"/>
    <w:rsid w:val="006D45FC"/>
    <w:rsid w:val="006D56DD"/>
    <w:rsid w:val="006D6765"/>
    <w:rsid w:val="006E557D"/>
    <w:rsid w:val="006F07F2"/>
    <w:rsid w:val="006F3196"/>
    <w:rsid w:val="006F5A73"/>
    <w:rsid w:val="00701E96"/>
    <w:rsid w:val="00721667"/>
    <w:rsid w:val="00722DFE"/>
    <w:rsid w:val="00723CFE"/>
    <w:rsid w:val="0072629F"/>
    <w:rsid w:val="0073194C"/>
    <w:rsid w:val="00736432"/>
    <w:rsid w:val="007367EB"/>
    <w:rsid w:val="00742AE2"/>
    <w:rsid w:val="0077466D"/>
    <w:rsid w:val="00775068"/>
    <w:rsid w:val="00782687"/>
    <w:rsid w:val="0078323B"/>
    <w:rsid w:val="007905D6"/>
    <w:rsid w:val="007B24AB"/>
    <w:rsid w:val="007B6D7F"/>
    <w:rsid w:val="007C16DC"/>
    <w:rsid w:val="007D5D47"/>
    <w:rsid w:val="007E2E0D"/>
    <w:rsid w:val="007E2F69"/>
    <w:rsid w:val="007E78F6"/>
    <w:rsid w:val="007F7321"/>
    <w:rsid w:val="00800710"/>
    <w:rsid w:val="00805E41"/>
    <w:rsid w:val="00805F63"/>
    <w:rsid w:val="0081125B"/>
    <w:rsid w:val="008517A8"/>
    <w:rsid w:val="00852150"/>
    <w:rsid w:val="00853953"/>
    <w:rsid w:val="00853C1E"/>
    <w:rsid w:val="00864AE9"/>
    <w:rsid w:val="00865FC2"/>
    <w:rsid w:val="00880100"/>
    <w:rsid w:val="00883427"/>
    <w:rsid w:val="00885C04"/>
    <w:rsid w:val="00895BDA"/>
    <w:rsid w:val="008A212E"/>
    <w:rsid w:val="008A47E3"/>
    <w:rsid w:val="008B7A1E"/>
    <w:rsid w:val="008E6BBA"/>
    <w:rsid w:val="008F03B9"/>
    <w:rsid w:val="008F3E31"/>
    <w:rsid w:val="008F5729"/>
    <w:rsid w:val="009074F2"/>
    <w:rsid w:val="00917729"/>
    <w:rsid w:val="00924E4C"/>
    <w:rsid w:val="00935083"/>
    <w:rsid w:val="009376A6"/>
    <w:rsid w:val="00945E30"/>
    <w:rsid w:val="0097424A"/>
    <w:rsid w:val="00974296"/>
    <w:rsid w:val="009752A4"/>
    <w:rsid w:val="00976577"/>
    <w:rsid w:val="00976A06"/>
    <w:rsid w:val="009B00B6"/>
    <w:rsid w:val="009B60C6"/>
    <w:rsid w:val="009C219F"/>
    <w:rsid w:val="009C4280"/>
    <w:rsid w:val="009D40F1"/>
    <w:rsid w:val="009E2A16"/>
    <w:rsid w:val="009E3951"/>
    <w:rsid w:val="00A153D3"/>
    <w:rsid w:val="00A24664"/>
    <w:rsid w:val="00A476DD"/>
    <w:rsid w:val="00A5645E"/>
    <w:rsid w:val="00A643DA"/>
    <w:rsid w:val="00A876BB"/>
    <w:rsid w:val="00A95421"/>
    <w:rsid w:val="00A969D9"/>
    <w:rsid w:val="00AA1018"/>
    <w:rsid w:val="00AC72AC"/>
    <w:rsid w:val="00AD2B87"/>
    <w:rsid w:val="00AE0C82"/>
    <w:rsid w:val="00AE2680"/>
    <w:rsid w:val="00AE400E"/>
    <w:rsid w:val="00AE5D36"/>
    <w:rsid w:val="00B00853"/>
    <w:rsid w:val="00B02A34"/>
    <w:rsid w:val="00B03E4B"/>
    <w:rsid w:val="00B05599"/>
    <w:rsid w:val="00B11C28"/>
    <w:rsid w:val="00B1313C"/>
    <w:rsid w:val="00B14600"/>
    <w:rsid w:val="00B14735"/>
    <w:rsid w:val="00B16FED"/>
    <w:rsid w:val="00B26856"/>
    <w:rsid w:val="00B26B4D"/>
    <w:rsid w:val="00B66779"/>
    <w:rsid w:val="00B72E8F"/>
    <w:rsid w:val="00B73862"/>
    <w:rsid w:val="00B80AE0"/>
    <w:rsid w:val="00B8550D"/>
    <w:rsid w:val="00B860CE"/>
    <w:rsid w:val="00B86E6D"/>
    <w:rsid w:val="00BA520C"/>
    <w:rsid w:val="00BB32D6"/>
    <w:rsid w:val="00BB4F8C"/>
    <w:rsid w:val="00BC0DB2"/>
    <w:rsid w:val="00BC119F"/>
    <w:rsid w:val="00BC1913"/>
    <w:rsid w:val="00BC712A"/>
    <w:rsid w:val="00BD5D06"/>
    <w:rsid w:val="00BD7A53"/>
    <w:rsid w:val="00BF06FF"/>
    <w:rsid w:val="00BF3416"/>
    <w:rsid w:val="00BF65DB"/>
    <w:rsid w:val="00C03C85"/>
    <w:rsid w:val="00C12224"/>
    <w:rsid w:val="00C1781E"/>
    <w:rsid w:val="00C41653"/>
    <w:rsid w:val="00C501E9"/>
    <w:rsid w:val="00C65EA0"/>
    <w:rsid w:val="00C66426"/>
    <w:rsid w:val="00C8793E"/>
    <w:rsid w:val="00C90E55"/>
    <w:rsid w:val="00C9721D"/>
    <w:rsid w:val="00CB1E1A"/>
    <w:rsid w:val="00CB3F60"/>
    <w:rsid w:val="00CB7178"/>
    <w:rsid w:val="00CB799D"/>
    <w:rsid w:val="00CC1CE7"/>
    <w:rsid w:val="00CC5752"/>
    <w:rsid w:val="00CD0889"/>
    <w:rsid w:val="00CE243B"/>
    <w:rsid w:val="00CE4851"/>
    <w:rsid w:val="00CE55A8"/>
    <w:rsid w:val="00CF3FAA"/>
    <w:rsid w:val="00D06D8C"/>
    <w:rsid w:val="00D12838"/>
    <w:rsid w:val="00D163B5"/>
    <w:rsid w:val="00D271D5"/>
    <w:rsid w:val="00D30587"/>
    <w:rsid w:val="00D31460"/>
    <w:rsid w:val="00D33EC2"/>
    <w:rsid w:val="00D3438C"/>
    <w:rsid w:val="00D35561"/>
    <w:rsid w:val="00D37B1A"/>
    <w:rsid w:val="00D56E25"/>
    <w:rsid w:val="00D64CEC"/>
    <w:rsid w:val="00D6714C"/>
    <w:rsid w:val="00D67C59"/>
    <w:rsid w:val="00D718E5"/>
    <w:rsid w:val="00D72C7E"/>
    <w:rsid w:val="00D806D7"/>
    <w:rsid w:val="00D8150E"/>
    <w:rsid w:val="00D864C3"/>
    <w:rsid w:val="00D90E99"/>
    <w:rsid w:val="00D92E99"/>
    <w:rsid w:val="00DB6E4E"/>
    <w:rsid w:val="00DC22D3"/>
    <w:rsid w:val="00DC7001"/>
    <w:rsid w:val="00DD4D23"/>
    <w:rsid w:val="00DF0AE6"/>
    <w:rsid w:val="00DF1199"/>
    <w:rsid w:val="00DF4464"/>
    <w:rsid w:val="00E00F5F"/>
    <w:rsid w:val="00E305A4"/>
    <w:rsid w:val="00E316C8"/>
    <w:rsid w:val="00E60ECA"/>
    <w:rsid w:val="00E63393"/>
    <w:rsid w:val="00E65863"/>
    <w:rsid w:val="00E70547"/>
    <w:rsid w:val="00E745E1"/>
    <w:rsid w:val="00E82EB8"/>
    <w:rsid w:val="00E85900"/>
    <w:rsid w:val="00E9457A"/>
    <w:rsid w:val="00EA2775"/>
    <w:rsid w:val="00EB284E"/>
    <w:rsid w:val="00EC0686"/>
    <w:rsid w:val="00EC2A32"/>
    <w:rsid w:val="00ED0106"/>
    <w:rsid w:val="00ED2389"/>
    <w:rsid w:val="00ED2BF6"/>
    <w:rsid w:val="00ED2F44"/>
    <w:rsid w:val="00F00590"/>
    <w:rsid w:val="00F40BB4"/>
    <w:rsid w:val="00F42580"/>
    <w:rsid w:val="00F51C20"/>
    <w:rsid w:val="00F665F3"/>
    <w:rsid w:val="00F675F1"/>
    <w:rsid w:val="00F72DE4"/>
    <w:rsid w:val="00F74F8F"/>
    <w:rsid w:val="00F7708E"/>
    <w:rsid w:val="00F85761"/>
    <w:rsid w:val="00FA234F"/>
    <w:rsid w:val="00FA3225"/>
    <w:rsid w:val="00FB5C49"/>
    <w:rsid w:val="00FC4A75"/>
    <w:rsid w:val="00FD219C"/>
    <w:rsid w:val="00FE55AB"/>
    <w:rsid w:val="00FF6104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7F9F"/>
  <w15:docId w15:val="{A2CA04DC-875E-4FB4-B9B3-89770641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0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75068"/>
    <w:pPr>
      <w:spacing w:after="0" w:line="240" w:lineRule="auto"/>
      <w:ind w:right="-73"/>
      <w:jc w:val="both"/>
    </w:pPr>
    <w:rPr>
      <w:rFonts w:ascii="Times New Roman" w:eastAsia="Times New Roman" w:hAnsi="Times New Roman"/>
      <w:i/>
      <w:iCs/>
      <w:color w:val="000000"/>
      <w:sz w:val="20"/>
      <w:szCs w:val="24"/>
    </w:rPr>
  </w:style>
  <w:style w:type="character" w:customStyle="1" w:styleId="30">
    <w:name w:val="Основной текст 3 Знак"/>
    <w:basedOn w:val="a0"/>
    <w:link w:val="3"/>
    <w:rsid w:val="00775068"/>
    <w:rPr>
      <w:rFonts w:ascii="Times New Roman" w:eastAsia="Times New Roman" w:hAnsi="Times New Roman" w:cs="Times New Roman"/>
      <w:i/>
      <w:iCs/>
      <w:color w:val="000000"/>
      <w:sz w:val="20"/>
      <w:szCs w:val="24"/>
    </w:rPr>
  </w:style>
  <w:style w:type="character" w:styleId="a3">
    <w:name w:val="annotation reference"/>
    <w:basedOn w:val="a0"/>
    <w:uiPriority w:val="99"/>
    <w:semiHidden/>
    <w:unhideWhenUsed/>
    <w:rsid w:val="0032610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2610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26100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2610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26100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6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100"/>
    <w:rPr>
      <w:rFonts w:ascii="Segoe UI" w:eastAsia="Calibri" w:hAnsi="Segoe UI" w:cs="Segoe UI"/>
      <w:sz w:val="18"/>
      <w:szCs w:val="18"/>
    </w:rPr>
  </w:style>
  <w:style w:type="paragraph" w:customStyle="1" w:styleId="1">
    <w:name w:val="Обычный1"/>
    <w:rsid w:val="00414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7228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6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.ru/retail/safe-ce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lid.ru/retail/safe-ce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d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Олеся Валентиновна</dc:creator>
  <cp:lastModifiedBy>Сидорова Олеся Валентиновна</cp:lastModifiedBy>
  <cp:revision>2</cp:revision>
  <cp:lastPrinted>2021-10-25T13:53:00Z</cp:lastPrinted>
  <dcterms:created xsi:type="dcterms:W3CDTF">2021-10-29T08:24:00Z</dcterms:created>
  <dcterms:modified xsi:type="dcterms:W3CDTF">2021-10-29T08:24:00Z</dcterms:modified>
</cp:coreProperties>
</file>